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2A16C" w14:textId="77777777" w:rsidR="006E26D2" w:rsidRPr="000A1180" w:rsidRDefault="00E30AD2" w:rsidP="00E30AD2">
      <w:pPr>
        <w:jc w:val="center"/>
        <w:rPr>
          <w:rFonts w:ascii="Bangla MN" w:hAnsi="Bangla MN"/>
          <w:b/>
        </w:rPr>
      </w:pPr>
      <w:r w:rsidRPr="000A1180">
        <w:rPr>
          <w:rFonts w:ascii="Bangla MN" w:hAnsi="Bangla MN"/>
          <w:b/>
        </w:rPr>
        <w:t>Curriculum Protocol - Easy Guide</w:t>
      </w:r>
    </w:p>
    <w:p w14:paraId="35678C4B" w14:textId="665BF0A9" w:rsidR="00E30AD2" w:rsidRDefault="00E30AD2" w:rsidP="00E30AD2">
      <w:pPr>
        <w:jc w:val="center"/>
        <w:rPr>
          <w:rFonts w:ascii="Bangla MN" w:hAnsi="Bangla MN"/>
        </w:rPr>
      </w:pPr>
      <w:r>
        <w:rPr>
          <w:rFonts w:ascii="Bangla MN" w:hAnsi="Bangla MN"/>
        </w:rPr>
        <w:t xml:space="preserve">The intent of this one-page protocol is to help teachers evaluate the Social Studies Standards for the Next Generation in order to </w:t>
      </w:r>
      <w:r w:rsidR="00E90396">
        <w:rPr>
          <w:rFonts w:ascii="Bangla MN" w:hAnsi="Bangla MN"/>
        </w:rPr>
        <w:t>make meaning</w:t>
      </w:r>
      <w:r>
        <w:rPr>
          <w:rFonts w:ascii="Bangla MN" w:hAnsi="Bangla MN"/>
        </w:rPr>
        <w:t xml:space="preserve"> about the big ideas for content in the standards.</w:t>
      </w:r>
      <w:r w:rsidR="00E90396">
        <w:rPr>
          <w:rFonts w:ascii="Bangla MN" w:hAnsi="Bangla MN"/>
        </w:rPr>
        <w:t xml:space="preserve">  Teachers should study each category in order.  Consult the facilitator’s guide for clarification and guiding questions, </w:t>
      </w:r>
      <w:r w:rsidR="000A1180">
        <w:rPr>
          <w:rFonts w:ascii="Bangla MN" w:hAnsi="Bangla MN"/>
        </w:rPr>
        <w:t>as well as a</w:t>
      </w:r>
      <w:r w:rsidR="00E90396">
        <w:rPr>
          <w:rFonts w:ascii="Bangla MN" w:hAnsi="Bangla MN"/>
        </w:rPr>
        <w:t xml:space="preserve"> graphic organizer for documentation.</w:t>
      </w:r>
    </w:p>
    <w:p w14:paraId="607DEDD7" w14:textId="77777777" w:rsidR="00E30AD2" w:rsidRDefault="00E30AD2" w:rsidP="00E30AD2">
      <w:pPr>
        <w:jc w:val="center"/>
        <w:rPr>
          <w:rFonts w:ascii="Bangla MN" w:hAnsi="Bangla MN"/>
        </w:rPr>
      </w:pPr>
    </w:p>
    <w:tbl>
      <w:tblPr>
        <w:tblStyle w:val="TableGrid"/>
        <w:tblW w:w="13456" w:type="dxa"/>
        <w:tblLook w:val="04A0" w:firstRow="1" w:lastRow="0" w:firstColumn="1" w:lastColumn="0" w:noHBand="0" w:noVBand="1"/>
      </w:tblPr>
      <w:tblGrid>
        <w:gridCol w:w="3603"/>
        <w:gridCol w:w="9853"/>
      </w:tblGrid>
      <w:tr w:rsidR="00E30AD2" w14:paraId="1AD03CD7" w14:textId="77777777" w:rsidTr="00E30AD2">
        <w:trPr>
          <w:trHeight w:val="841"/>
        </w:trPr>
        <w:tc>
          <w:tcPr>
            <w:tcW w:w="3603" w:type="dxa"/>
          </w:tcPr>
          <w:p w14:paraId="5A1A2DB7" w14:textId="77777777" w:rsidR="00E30AD2" w:rsidRDefault="00E30AD2" w:rsidP="00E30AD2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1. Architecture study</w:t>
            </w:r>
          </w:p>
        </w:tc>
        <w:tc>
          <w:tcPr>
            <w:tcW w:w="9853" w:type="dxa"/>
          </w:tcPr>
          <w:p w14:paraId="3958B2CD" w14:textId="77777777" w:rsidR="00E30AD2" w:rsidRDefault="00E30AD2" w:rsidP="00E30AD2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Be familiar with the architecture of the standards document.</w:t>
            </w:r>
          </w:p>
        </w:tc>
      </w:tr>
      <w:tr w:rsidR="00E30AD2" w14:paraId="18631A96" w14:textId="77777777" w:rsidTr="00E30AD2">
        <w:trPr>
          <w:trHeight w:val="841"/>
        </w:trPr>
        <w:tc>
          <w:tcPr>
            <w:tcW w:w="3603" w:type="dxa"/>
          </w:tcPr>
          <w:p w14:paraId="41BAB9D4" w14:textId="77777777" w:rsidR="00E30AD2" w:rsidRDefault="00E30AD2" w:rsidP="00E90396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 xml:space="preserve">2. </w:t>
            </w:r>
            <w:r w:rsidR="00E90396">
              <w:rPr>
                <w:rFonts w:ascii="Bangla MN" w:hAnsi="Bangla MN"/>
              </w:rPr>
              <w:t>Anchor</w:t>
            </w:r>
          </w:p>
        </w:tc>
        <w:tc>
          <w:tcPr>
            <w:tcW w:w="9853" w:type="dxa"/>
          </w:tcPr>
          <w:p w14:paraId="3377DCEC" w14:textId="77777777" w:rsidR="00E30AD2" w:rsidRDefault="00E90396" w:rsidP="00E30AD2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Study and understand the intent of a specific anchor.</w:t>
            </w:r>
          </w:p>
        </w:tc>
      </w:tr>
      <w:tr w:rsidR="00E30AD2" w14:paraId="6E4B2D23" w14:textId="77777777" w:rsidTr="00E30AD2">
        <w:trPr>
          <w:trHeight w:val="841"/>
        </w:trPr>
        <w:tc>
          <w:tcPr>
            <w:tcW w:w="3603" w:type="dxa"/>
          </w:tcPr>
          <w:p w14:paraId="2CFF9F98" w14:textId="0DABDD2E" w:rsidR="00E30AD2" w:rsidRDefault="00E30AD2" w:rsidP="00E90396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 xml:space="preserve">3. </w:t>
            </w:r>
            <w:r w:rsidR="00694F72">
              <w:rPr>
                <w:rFonts w:ascii="Bangla MN" w:hAnsi="Bangla MN"/>
              </w:rPr>
              <w:t xml:space="preserve">Grade-level </w:t>
            </w:r>
            <w:r w:rsidR="00E90396">
              <w:rPr>
                <w:rFonts w:ascii="Bangla MN" w:hAnsi="Bangla MN"/>
              </w:rPr>
              <w:t>Narrative</w:t>
            </w:r>
          </w:p>
        </w:tc>
        <w:tc>
          <w:tcPr>
            <w:tcW w:w="9853" w:type="dxa"/>
          </w:tcPr>
          <w:p w14:paraId="659A5F69" w14:textId="77777777" w:rsidR="00E30AD2" w:rsidRDefault="00E90396" w:rsidP="00E30AD2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Study the intent of a grade-level narrative.</w:t>
            </w:r>
          </w:p>
        </w:tc>
      </w:tr>
      <w:tr w:rsidR="00E30AD2" w14:paraId="0810BEF1" w14:textId="77777777" w:rsidTr="00E30AD2">
        <w:trPr>
          <w:trHeight w:val="841"/>
        </w:trPr>
        <w:tc>
          <w:tcPr>
            <w:tcW w:w="3603" w:type="dxa"/>
          </w:tcPr>
          <w:p w14:paraId="550F8A6E" w14:textId="77777777" w:rsidR="00E30AD2" w:rsidRDefault="00E30AD2" w:rsidP="00E30AD2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4. Grade-level Standard</w:t>
            </w:r>
          </w:p>
        </w:tc>
        <w:tc>
          <w:tcPr>
            <w:tcW w:w="9853" w:type="dxa"/>
          </w:tcPr>
          <w:p w14:paraId="503E7B65" w14:textId="04EAB86C" w:rsidR="00E30AD2" w:rsidRDefault="004B2FA5" w:rsidP="00025B41">
            <w:pPr>
              <w:jc w:val="center"/>
              <w:rPr>
                <w:rFonts w:ascii="Bangla MN" w:hAnsi="Bangla MN"/>
              </w:rPr>
            </w:pPr>
            <w:r>
              <w:t xml:space="preserve">Determine the </w:t>
            </w:r>
            <w:r w:rsidR="00025B41">
              <w:t xml:space="preserve">Know and Do statements or questions to </w:t>
            </w:r>
            <w:r w:rsidR="00025B41">
              <w:t xml:space="preserve">get to </w:t>
            </w:r>
            <w:r w:rsidR="00025B41">
              <w:t xml:space="preserve">the heart of what we want students to master </w:t>
            </w:r>
            <w:r w:rsidR="00A30B7F">
              <w:t xml:space="preserve">for </w:t>
            </w:r>
            <w:r w:rsidR="00025B41">
              <w:t>the standard.</w:t>
            </w:r>
          </w:p>
        </w:tc>
      </w:tr>
      <w:tr w:rsidR="00E30AD2" w14:paraId="1BCFF9C7" w14:textId="77777777" w:rsidTr="00E30AD2">
        <w:trPr>
          <w:trHeight w:val="841"/>
        </w:trPr>
        <w:tc>
          <w:tcPr>
            <w:tcW w:w="3603" w:type="dxa"/>
          </w:tcPr>
          <w:p w14:paraId="0579D096" w14:textId="61DD0671" w:rsidR="00E30AD2" w:rsidRDefault="00E30AD2" w:rsidP="00694F72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 xml:space="preserve">5. </w:t>
            </w:r>
            <w:r w:rsidR="00694F72">
              <w:rPr>
                <w:rFonts w:ascii="Bangla MN" w:hAnsi="Bangla MN"/>
              </w:rPr>
              <w:t>Conte</w:t>
            </w:r>
            <w:r w:rsidR="00694F72">
              <w:rPr>
                <w:rFonts w:ascii="Bangla MN" w:hAnsi="Bangla MN"/>
              </w:rPr>
              <w:t>xt Examples</w:t>
            </w:r>
          </w:p>
        </w:tc>
        <w:tc>
          <w:tcPr>
            <w:tcW w:w="9853" w:type="dxa"/>
          </w:tcPr>
          <w:p w14:paraId="2D43C457" w14:textId="3BB1A91A" w:rsidR="00E30AD2" w:rsidRDefault="00925051" w:rsidP="00A85A0C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 xml:space="preserve">Brainstorm possible contexts through which the </w:t>
            </w:r>
            <w:r w:rsidR="00A85A0C">
              <w:rPr>
                <w:rFonts w:ascii="Bangla MN" w:hAnsi="Bangla MN"/>
              </w:rPr>
              <w:t>KNOW and DO statements</w:t>
            </w:r>
            <w:r w:rsidR="004B2FA5">
              <w:rPr>
                <w:rFonts w:ascii="Bangla MN" w:hAnsi="Bangla MN"/>
              </w:rPr>
              <w:t>/questions</w:t>
            </w:r>
            <w:bookmarkStart w:id="0" w:name="_GoBack"/>
            <w:bookmarkEnd w:id="0"/>
            <w:r w:rsidR="00A85A0C">
              <w:rPr>
                <w:rFonts w:ascii="Bangla MN" w:hAnsi="Bangla MN"/>
              </w:rPr>
              <w:t xml:space="preserve"> </w:t>
            </w:r>
            <w:r>
              <w:rPr>
                <w:rFonts w:ascii="Bangla MN" w:hAnsi="Bangla MN"/>
              </w:rPr>
              <w:t>can be taught.</w:t>
            </w:r>
          </w:p>
        </w:tc>
      </w:tr>
      <w:tr w:rsidR="00E30AD2" w14:paraId="0478B089" w14:textId="77777777" w:rsidTr="00E30AD2">
        <w:trPr>
          <w:trHeight w:val="841"/>
        </w:trPr>
        <w:tc>
          <w:tcPr>
            <w:tcW w:w="3603" w:type="dxa"/>
          </w:tcPr>
          <w:p w14:paraId="14ADF54D" w14:textId="774D1755" w:rsidR="00E30AD2" w:rsidRDefault="00E30AD2" w:rsidP="00694F72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 xml:space="preserve">6. </w:t>
            </w:r>
            <w:r w:rsidR="00694F72">
              <w:rPr>
                <w:rFonts w:ascii="Bangla MN" w:hAnsi="Bangla MN"/>
              </w:rPr>
              <w:t>Connections</w:t>
            </w:r>
          </w:p>
        </w:tc>
        <w:tc>
          <w:tcPr>
            <w:tcW w:w="9853" w:type="dxa"/>
          </w:tcPr>
          <w:p w14:paraId="70A852AD" w14:textId="0BA083C1" w:rsidR="00E30AD2" w:rsidRDefault="00A85A0C" w:rsidP="00A85A0C">
            <w:pPr>
              <w:jc w:val="center"/>
              <w:rPr>
                <w:rFonts w:ascii="Bangla MN" w:hAnsi="Bangla MN"/>
              </w:rPr>
            </w:pPr>
            <w:r>
              <w:t xml:space="preserve">Connect </w:t>
            </w:r>
            <w:r>
              <w:t>to other</w:t>
            </w:r>
            <w:r>
              <w:t xml:space="preserve"> grade-level standards in other Disciplinary Core Concepts, or even other content areas like math, reading, writing, science, arts, etc</w:t>
            </w:r>
            <w:r w:rsidR="004B2FA5">
              <w:t>.</w:t>
            </w:r>
          </w:p>
        </w:tc>
      </w:tr>
    </w:tbl>
    <w:p w14:paraId="25192AA6" w14:textId="77777777" w:rsidR="00E30AD2" w:rsidRPr="00E30AD2" w:rsidRDefault="00E30AD2" w:rsidP="00E30AD2">
      <w:pPr>
        <w:jc w:val="center"/>
        <w:rPr>
          <w:rFonts w:ascii="Bangla MN" w:hAnsi="Bangla MN"/>
        </w:rPr>
      </w:pPr>
    </w:p>
    <w:sectPr w:rsidR="00E30AD2" w:rsidRPr="00E30AD2" w:rsidSect="00E30AD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D2"/>
    <w:rsid w:val="00025B41"/>
    <w:rsid w:val="000A1180"/>
    <w:rsid w:val="002E56F2"/>
    <w:rsid w:val="004B2FA5"/>
    <w:rsid w:val="00635201"/>
    <w:rsid w:val="00694F72"/>
    <w:rsid w:val="006E26D2"/>
    <w:rsid w:val="00770AA7"/>
    <w:rsid w:val="00925051"/>
    <w:rsid w:val="00A30B7F"/>
    <w:rsid w:val="00A85A0C"/>
    <w:rsid w:val="00E30AD2"/>
    <w:rsid w:val="00E9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2B5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 Ralston</dc:creator>
  <cp:lastModifiedBy>dwaggon</cp:lastModifiedBy>
  <cp:revision>3</cp:revision>
  <dcterms:created xsi:type="dcterms:W3CDTF">2015-03-16T23:09:00Z</dcterms:created>
  <dcterms:modified xsi:type="dcterms:W3CDTF">2015-03-19T00:04:00Z</dcterms:modified>
</cp:coreProperties>
</file>