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FF" w:rsidRPr="00A91CFF" w:rsidRDefault="00A91CFF" w:rsidP="00A91CFF">
      <w:pPr>
        <w:pStyle w:val="NormalWeb"/>
        <w:shd w:val="clear" w:color="auto" w:fill="FFFFFF"/>
        <w:spacing w:before="0" w:beforeAutospacing="0" w:after="150" w:afterAutospacing="0" w:line="330" w:lineRule="atLeast"/>
        <w:jc w:val="center"/>
        <w:rPr>
          <w:rFonts w:ascii="Helvetica" w:hAnsi="Helvetica" w:cs="Helvetica"/>
          <w:b/>
          <w:color w:val="363636"/>
          <w:sz w:val="32"/>
          <w:szCs w:val="32"/>
        </w:rPr>
      </w:pPr>
      <w:bookmarkStart w:id="0" w:name="_GoBack"/>
      <w:bookmarkEnd w:id="0"/>
      <w:r w:rsidRPr="00A91CFF">
        <w:rPr>
          <w:rFonts w:ascii="Helvetica" w:hAnsi="Helvetica" w:cs="Helvetica"/>
          <w:b/>
          <w:color w:val="363636"/>
          <w:sz w:val="32"/>
          <w:szCs w:val="32"/>
        </w:rPr>
        <w:t xml:space="preserve">Growing </w:t>
      </w:r>
      <w:proofErr w:type="gramStart"/>
      <w:r w:rsidRPr="00A91CFF">
        <w:rPr>
          <w:rFonts w:ascii="Helvetica" w:hAnsi="Helvetica" w:cs="Helvetica"/>
          <w:b/>
          <w:color w:val="363636"/>
          <w:sz w:val="32"/>
          <w:szCs w:val="32"/>
        </w:rPr>
        <w:t>A</w:t>
      </w:r>
      <w:proofErr w:type="gramEnd"/>
      <w:r w:rsidRPr="00A91CFF">
        <w:rPr>
          <w:rFonts w:ascii="Helvetica" w:hAnsi="Helvetica" w:cs="Helvetica"/>
          <w:b/>
          <w:color w:val="363636"/>
          <w:sz w:val="32"/>
          <w:szCs w:val="32"/>
        </w:rPr>
        <w:t xml:space="preserve"> Teacher’s Own Student-Growth Evidence</w:t>
      </w:r>
    </w:p>
    <w:p w:rsidR="00520705" w:rsidRDefault="00520705" w:rsidP="00520705">
      <w:pPr>
        <w:pStyle w:val="NormalWeb"/>
        <w:shd w:val="clear" w:color="auto" w:fill="FFFFFF"/>
        <w:spacing w:before="0" w:beforeAutospacing="0" w:after="150" w:afterAutospacing="0" w:line="330" w:lineRule="atLeast"/>
        <w:rPr>
          <w:rFonts w:ascii="Helvetica" w:hAnsi="Helvetica" w:cs="Helvetica"/>
          <w:color w:val="363636"/>
          <w:sz w:val="21"/>
          <w:szCs w:val="21"/>
        </w:rPr>
      </w:pPr>
      <w:r>
        <w:rPr>
          <w:rFonts w:ascii="Helvetica" w:hAnsi="Helvetica" w:cs="Helvetica"/>
          <w:color w:val="363636"/>
          <w:sz w:val="21"/>
          <w:szCs w:val="21"/>
        </w:rPr>
        <w:t xml:space="preserve">By W. James </w:t>
      </w:r>
      <w:proofErr w:type="spellStart"/>
      <w:r>
        <w:rPr>
          <w:rFonts w:ascii="Helvetica" w:hAnsi="Helvetica" w:cs="Helvetica"/>
          <w:color w:val="363636"/>
          <w:sz w:val="21"/>
          <w:szCs w:val="21"/>
        </w:rPr>
        <w:t>Popham</w:t>
      </w:r>
      <w:proofErr w:type="spellEnd"/>
      <w:r>
        <w:rPr>
          <w:rFonts w:ascii="Helvetica" w:hAnsi="Helvetica" w:cs="Helvetica"/>
          <w:color w:val="363636"/>
          <w:sz w:val="21"/>
          <w:szCs w:val="21"/>
        </w:rPr>
        <w:t>, University of California, Los Angeles</w:t>
      </w:r>
    </w:p>
    <w:p w:rsidR="00520705" w:rsidRDefault="00520705" w:rsidP="00520705">
      <w:pPr>
        <w:pStyle w:val="NormalWeb"/>
        <w:shd w:val="clear" w:color="auto" w:fill="FFFFFF"/>
        <w:spacing w:before="0" w:beforeAutospacing="0" w:after="150" w:afterAutospacing="0" w:line="330" w:lineRule="atLeast"/>
        <w:rPr>
          <w:rFonts w:ascii="Helvetica" w:hAnsi="Helvetica" w:cs="Helvetica"/>
          <w:color w:val="363636"/>
          <w:sz w:val="21"/>
          <w:szCs w:val="21"/>
        </w:rPr>
      </w:pPr>
      <w:r>
        <w:rPr>
          <w:rFonts w:ascii="Helvetica" w:hAnsi="Helvetica" w:cs="Helvetica"/>
          <w:color w:val="363636"/>
          <w:sz w:val="21"/>
          <w:szCs w:val="21"/>
        </w:rPr>
        <w:t>In 2009, ASCD published my book,</w:t>
      </w:r>
      <w:r>
        <w:rPr>
          <w:rStyle w:val="apple-converted-space"/>
          <w:rFonts w:ascii="Helvetica" w:hAnsi="Helvetica" w:cs="Helvetica"/>
          <w:color w:val="363636"/>
          <w:sz w:val="21"/>
          <w:szCs w:val="21"/>
        </w:rPr>
        <w:t> </w:t>
      </w:r>
      <w:hyperlink r:id="rId5" w:history="1">
        <w:r>
          <w:rPr>
            <w:rStyle w:val="Hyperlink"/>
            <w:rFonts w:ascii="Helvetica" w:hAnsi="Helvetica" w:cs="Helvetica"/>
            <w:i/>
            <w:iCs/>
            <w:color w:val="58919A"/>
            <w:sz w:val="21"/>
            <w:szCs w:val="21"/>
            <w:u w:val="none"/>
          </w:rPr>
          <w:t>Instruction That Measures Up: Successful Teaching in the Age of Accountability</w:t>
        </w:r>
      </w:hyperlink>
      <w:proofErr w:type="gramStart"/>
      <w:r>
        <w:rPr>
          <w:rFonts w:ascii="Helvetica" w:hAnsi="Helvetica" w:cs="Helvetica"/>
          <w:color w:val="363636"/>
          <w:sz w:val="21"/>
          <w:szCs w:val="21"/>
        </w:rPr>
        <w:t>, that</w:t>
      </w:r>
      <w:proofErr w:type="gramEnd"/>
      <w:r>
        <w:rPr>
          <w:rFonts w:ascii="Helvetica" w:hAnsi="Helvetica" w:cs="Helvetica"/>
          <w:color w:val="363636"/>
          <w:sz w:val="21"/>
          <w:szCs w:val="21"/>
        </w:rPr>
        <w:t xml:space="preserve"> I wrote well before Race to the Top raced its way into our consciousness. In</w:t>
      </w:r>
      <w:r>
        <w:rPr>
          <w:rStyle w:val="apple-converted-space"/>
          <w:rFonts w:ascii="Helvetica" w:hAnsi="Helvetica" w:cs="Helvetica"/>
          <w:color w:val="363636"/>
          <w:sz w:val="21"/>
          <w:szCs w:val="21"/>
        </w:rPr>
        <w:t> </w:t>
      </w:r>
      <w:hyperlink r:id="rId6" w:history="1">
        <w:r>
          <w:rPr>
            <w:rStyle w:val="Hyperlink"/>
            <w:rFonts w:ascii="Helvetica" w:hAnsi="Helvetica" w:cs="Helvetica"/>
            <w:color w:val="58919A"/>
            <w:sz w:val="21"/>
            <w:szCs w:val="21"/>
            <w:u w:val="none"/>
          </w:rPr>
          <w:t>Chapter 6</w:t>
        </w:r>
      </w:hyperlink>
      <w:r>
        <w:rPr>
          <w:rFonts w:ascii="Helvetica" w:hAnsi="Helvetica" w:cs="Helvetica"/>
          <w:color w:val="363636"/>
          <w:sz w:val="21"/>
          <w:szCs w:val="21"/>
        </w:rPr>
        <w:t>, entitled “Evaluating Instruction,” I suggested that a potent form of evaluative evidence—evidence by which a teacher’s instruction might be judged—could be the data collected from teacher-made classroom assessments. Indeed, I argued that most of the tests then being used to evaluate instruction were</w:t>
      </w:r>
      <w:r>
        <w:rPr>
          <w:rStyle w:val="apple-converted-space"/>
          <w:rFonts w:ascii="Helvetica" w:hAnsi="Helvetica" w:cs="Helvetica"/>
          <w:color w:val="363636"/>
          <w:sz w:val="21"/>
          <w:szCs w:val="21"/>
        </w:rPr>
        <w:t> </w:t>
      </w:r>
      <w:r>
        <w:rPr>
          <w:rFonts w:ascii="Helvetica" w:hAnsi="Helvetica" w:cs="Helvetica"/>
          <w:i/>
          <w:iCs/>
          <w:color w:val="363636"/>
          <w:sz w:val="21"/>
          <w:szCs w:val="21"/>
        </w:rPr>
        <w:t>instructionally insensitive</w:t>
      </w:r>
      <w:r>
        <w:rPr>
          <w:rFonts w:ascii="Helvetica" w:hAnsi="Helvetica" w:cs="Helvetica"/>
          <w:color w:val="363636"/>
          <w:sz w:val="21"/>
          <w:szCs w:val="21"/>
        </w:rPr>
        <w:t>, that is, unaccompanied by evidence showing those tests could accurately distinguish between well taught and badly taught students. Accordingly, if the evaluation of a teacher’s instruction were to be based on instructionally insensitive state tests or instructionally insensitive district-acquired tests, evidence of instructional effectiveness based on classroom assessments could be far more persuasive.</w:t>
      </w:r>
    </w:p>
    <w:p w:rsidR="00520705" w:rsidRDefault="00520705" w:rsidP="00520705">
      <w:pPr>
        <w:pStyle w:val="NormalWeb"/>
        <w:shd w:val="clear" w:color="auto" w:fill="FFFFFF"/>
        <w:spacing w:before="0" w:beforeAutospacing="0" w:after="150" w:afterAutospacing="0" w:line="330" w:lineRule="atLeast"/>
        <w:rPr>
          <w:rFonts w:ascii="Helvetica" w:hAnsi="Helvetica" w:cs="Helvetica"/>
          <w:color w:val="363636"/>
          <w:sz w:val="21"/>
          <w:szCs w:val="21"/>
        </w:rPr>
      </w:pPr>
      <w:r>
        <w:rPr>
          <w:rFonts w:ascii="Helvetica" w:hAnsi="Helvetica" w:cs="Helvetica"/>
          <w:color w:val="363636"/>
          <w:sz w:val="21"/>
          <w:szCs w:val="21"/>
        </w:rPr>
        <w:t>When collecting evidence of student growth via classroom assessments, however, not only do the results of such tests need to be constructed so they accurately gauge changes in students’ levels of achievement, but those results must also be seen as</w:t>
      </w:r>
      <w:r>
        <w:rPr>
          <w:rStyle w:val="apple-converted-space"/>
          <w:rFonts w:ascii="Helvetica" w:hAnsi="Helvetica" w:cs="Helvetica"/>
          <w:color w:val="363636"/>
          <w:sz w:val="21"/>
          <w:szCs w:val="21"/>
        </w:rPr>
        <w:t> </w:t>
      </w:r>
      <w:r>
        <w:rPr>
          <w:rFonts w:ascii="Helvetica" w:hAnsi="Helvetica" w:cs="Helvetica"/>
          <w:i/>
          <w:iCs/>
          <w:color w:val="363636"/>
          <w:sz w:val="21"/>
          <w:szCs w:val="21"/>
        </w:rPr>
        <w:t>credible.</w:t>
      </w:r>
      <w:r>
        <w:rPr>
          <w:rStyle w:val="apple-converted-space"/>
          <w:rFonts w:ascii="Helvetica" w:hAnsi="Helvetica" w:cs="Helvetica"/>
          <w:color w:val="363636"/>
          <w:sz w:val="21"/>
          <w:szCs w:val="21"/>
        </w:rPr>
        <w:t> </w:t>
      </w:r>
      <w:r>
        <w:rPr>
          <w:rFonts w:ascii="Helvetica" w:hAnsi="Helvetica" w:cs="Helvetica"/>
          <w:color w:val="363636"/>
          <w:sz w:val="21"/>
          <w:szCs w:val="21"/>
        </w:rPr>
        <w:t>Skeptics will often discount the importance of classroom-assessment evidence because they regard such evidence as likely to be contaminated by teachers’ self-serving conduct. In</w:t>
      </w:r>
      <w:r>
        <w:rPr>
          <w:rStyle w:val="apple-converted-space"/>
          <w:rFonts w:ascii="Helvetica" w:hAnsi="Helvetica" w:cs="Helvetica"/>
          <w:color w:val="363636"/>
          <w:sz w:val="21"/>
          <w:szCs w:val="21"/>
        </w:rPr>
        <w:t> </w:t>
      </w:r>
      <w:r>
        <w:rPr>
          <w:rFonts w:ascii="Helvetica" w:hAnsi="Helvetica" w:cs="Helvetica"/>
          <w:i/>
          <w:iCs/>
          <w:color w:val="363636"/>
          <w:sz w:val="21"/>
          <w:szCs w:val="21"/>
        </w:rPr>
        <w:t>Instruction That Measures Up</w:t>
      </w:r>
      <w:r>
        <w:rPr>
          <w:rFonts w:ascii="Helvetica" w:hAnsi="Helvetica" w:cs="Helvetica"/>
          <w:color w:val="363636"/>
          <w:sz w:val="21"/>
          <w:szCs w:val="21"/>
        </w:rPr>
        <w:t>, I described several data-gathering designs that use variations of pre-test and post-test data-collection methods, coupled with blind scoring of students’ results by nonpartisan scorers, to show that it is possible for teachers to collect evidence of student growth that is both accurate and credible.</w:t>
      </w:r>
    </w:p>
    <w:p w:rsidR="00520705" w:rsidRDefault="00520705" w:rsidP="00520705">
      <w:pPr>
        <w:pStyle w:val="NormalWeb"/>
        <w:shd w:val="clear" w:color="auto" w:fill="FFFFFF"/>
        <w:spacing w:before="0" w:beforeAutospacing="0" w:after="150" w:afterAutospacing="0" w:line="330" w:lineRule="atLeast"/>
        <w:rPr>
          <w:rFonts w:ascii="Helvetica" w:hAnsi="Helvetica" w:cs="Helvetica"/>
          <w:color w:val="363636"/>
          <w:sz w:val="21"/>
          <w:szCs w:val="21"/>
        </w:rPr>
      </w:pPr>
      <w:r>
        <w:rPr>
          <w:rFonts w:ascii="Helvetica" w:hAnsi="Helvetica" w:cs="Helvetica"/>
          <w:color w:val="363636"/>
          <w:sz w:val="21"/>
          <w:szCs w:val="21"/>
        </w:rPr>
        <w:t>Summing up, teachers</w:t>
      </w:r>
      <w:r>
        <w:rPr>
          <w:rStyle w:val="apple-converted-space"/>
          <w:rFonts w:ascii="Helvetica" w:hAnsi="Helvetica" w:cs="Helvetica"/>
          <w:color w:val="363636"/>
          <w:sz w:val="21"/>
          <w:szCs w:val="21"/>
        </w:rPr>
        <w:t> </w:t>
      </w:r>
      <w:r>
        <w:rPr>
          <w:rFonts w:ascii="Helvetica" w:hAnsi="Helvetica" w:cs="Helvetica"/>
          <w:i/>
          <w:iCs/>
          <w:color w:val="363636"/>
          <w:sz w:val="21"/>
          <w:szCs w:val="21"/>
        </w:rPr>
        <w:t>can</w:t>
      </w:r>
      <w:r>
        <w:rPr>
          <w:rStyle w:val="apple-converted-space"/>
          <w:rFonts w:ascii="Helvetica" w:hAnsi="Helvetica" w:cs="Helvetica"/>
          <w:i/>
          <w:iCs/>
          <w:color w:val="363636"/>
          <w:sz w:val="21"/>
          <w:szCs w:val="21"/>
        </w:rPr>
        <w:t> </w:t>
      </w:r>
      <w:r>
        <w:rPr>
          <w:rFonts w:ascii="Helvetica" w:hAnsi="Helvetica" w:cs="Helvetica"/>
          <w:color w:val="363636"/>
          <w:sz w:val="21"/>
          <w:szCs w:val="21"/>
        </w:rPr>
        <w:t>grow defensible evidence of student growth by relying on teacher-made classroom assessments. But teachers need to learn how to build tests that accurately measure such growth—and how to administer and then score those tests so the world believes what they say.</w:t>
      </w:r>
    </w:p>
    <w:p w:rsidR="00520705" w:rsidRDefault="00520705"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r w:rsidRPr="00D95CE3">
        <w:rPr>
          <w:rFonts w:ascii="Helvetica" w:hAnsi="Helvetica" w:cs="Helvetica"/>
          <w:b/>
          <w:bCs/>
          <w:i/>
          <w:iCs/>
          <w:color w:val="363636"/>
          <w:sz w:val="18"/>
          <w:szCs w:val="18"/>
        </w:rPr>
        <w:t xml:space="preserve">W. James </w:t>
      </w:r>
      <w:proofErr w:type="spellStart"/>
      <w:r w:rsidRPr="00D95CE3">
        <w:rPr>
          <w:rFonts w:ascii="Helvetica" w:hAnsi="Helvetica" w:cs="Helvetica"/>
          <w:b/>
          <w:bCs/>
          <w:i/>
          <w:iCs/>
          <w:color w:val="363636"/>
          <w:sz w:val="18"/>
          <w:szCs w:val="18"/>
        </w:rPr>
        <w:t>Popham</w:t>
      </w:r>
      <w:proofErr w:type="spellEnd"/>
      <w:r w:rsidRPr="00D95CE3">
        <w:rPr>
          <w:rStyle w:val="apple-converted-space"/>
          <w:rFonts w:ascii="Helvetica" w:hAnsi="Helvetica" w:cs="Helvetica"/>
          <w:i/>
          <w:iCs/>
          <w:color w:val="363636"/>
          <w:sz w:val="18"/>
          <w:szCs w:val="18"/>
        </w:rPr>
        <w:t> </w:t>
      </w:r>
      <w:r w:rsidRPr="00D95CE3">
        <w:rPr>
          <w:rFonts w:ascii="Helvetica" w:hAnsi="Helvetica" w:cs="Helvetica"/>
          <w:i/>
          <w:iCs/>
          <w:color w:val="363636"/>
          <w:sz w:val="18"/>
          <w:szCs w:val="18"/>
        </w:rPr>
        <w:t>is Emeritus Professor in the UCLA Graduate School of Education and Information Studies. He has spent most of his career as a teacher, largely at UCLA, where for nearly 30 years he taught courses in instructional methods for prospective teachers and graduate-level courses in evaluation and measurement. At UCLA he won several distinguished teaching awards, and in January 2000, he was recognized by</w:t>
      </w:r>
      <w:r w:rsidRPr="00D95CE3">
        <w:rPr>
          <w:rStyle w:val="apple-converted-space"/>
          <w:rFonts w:ascii="Helvetica" w:hAnsi="Helvetica" w:cs="Helvetica"/>
          <w:i/>
          <w:iCs/>
          <w:color w:val="363636"/>
          <w:sz w:val="18"/>
          <w:szCs w:val="18"/>
        </w:rPr>
        <w:t> </w:t>
      </w:r>
      <w:r w:rsidRPr="00D95CE3">
        <w:rPr>
          <w:rFonts w:ascii="Helvetica" w:hAnsi="Helvetica" w:cs="Helvetica"/>
          <w:color w:val="363636"/>
          <w:sz w:val="18"/>
          <w:szCs w:val="18"/>
        </w:rPr>
        <w:t xml:space="preserve">UCLA </w:t>
      </w:r>
      <w:proofErr w:type="spellStart"/>
      <w:r w:rsidRPr="00D95CE3">
        <w:rPr>
          <w:rFonts w:ascii="Helvetica" w:hAnsi="Helvetica" w:cs="Helvetica"/>
          <w:color w:val="363636"/>
          <w:sz w:val="18"/>
          <w:szCs w:val="18"/>
        </w:rPr>
        <w:t>Today</w:t>
      </w:r>
      <w:r w:rsidRPr="00D95CE3">
        <w:rPr>
          <w:rFonts w:ascii="Helvetica" w:hAnsi="Helvetica" w:cs="Helvetica"/>
          <w:i/>
          <w:iCs/>
          <w:color w:val="363636"/>
          <w:sz w:val="18"/>
          <w:szCs w:val="18"/>
        </w:rPr>
        <w:t>as</w:t>
      </w:r>
      <w:proofErr w:type="spellEnd"/>
      <w:r w:rsidRPr="00D95CE3">
        <w:rPr>
          <w:rFonts w:ascii="Helvetica" w:hAnsi="Helvetica" w:cs="Helvetica"/>
          <w:i/>
          <w:iCs/>
          <w:color w:val="363636"/>
          <w:sz w:val="18"/>
          <w:szCs w:val="18"/>
        </w:rPr>
        <w:t xml:space="preserve"> one of UCLA’s top 20 professors of the 20th century.</w:t>
      </w:r>
    </w:p>
    <w:p w:rsidR="0062737E" w:rsidRDefault="0062737E"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p>
    <w:p w:rsidR="0062737E" w:rsidRDefault="0062737E"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p>
    <w:p w:rsidR="0062737E" w:rsidRDefault="0062737E"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p>
    <w:p w:rsidR="0062737E" w:rsidRDefault="0062737E"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p>
    <w:p w:rsidR="0062737E" w:rsidRDefault="0062737E"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p>
    <w:p w:rsidR="0062737E" w:rsidRDefault="0062737E"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p>
    <w:p w:rsidR="0062737E" w:rsidRDefault="0062737E"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p>
    <w:p w:rsidR="0062737E" w:rsidRDefault="0062737E"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p>
    <w:p w:rsidR="0062737E" w:rsidRDefault="0062737E" w:rsidP="00520705">
      <w:pPr>
        <w:pStyle w:val="NormalWeb"/>
        <w:shd w:val="clear" w:color="auto" w:fill="FFFFFF"/>
        <w:spacing w:before="0" w:beforeAutospacing="0" w:after="0" w:afterAutospacing="0" w:line="330" w:lineRule="atLeast"/>
        <w:rPr>
          <w:rFonts w:ascii="Helvetica" w:hAnsi="Helvetica" w:cs="Helvetica"/>
          <w:i/>
          <w:iCs/>
          <w:color w:val="363636"/>
          <w:sz w:val="18"/>
          <w:szCs w:val="18"/>
        </w:rPr>
      </w:pPr>
    </w:p>
    <w:tbl>
      <w:tblPr>
        <w:tblStyle w:val="TableGrid"/>
        <w:tblW w:w="0" w:type="auto"/>
        <w:tblLook w:val="04A0" w:firstRow="1" w:lastRow="0" w:firstColumn="1" w:lastColumn="0" w:noHBand="0" w:noVBand="1"/>
      </w:tblPr>
      <w:tblGrid>
        <w:gridCol w:w="4788"/>
        <w:gridCol w:w="4788"/>
      </w:tblGrid>
      <w:tr w:rsidR="0062737E" w:rsidTr="0062737E">
        <w:tc>
          <w:tcPr>
            <w:tcW w:w="4788" w:type="dxa"/>
          </w:tcPr>
          <w:p w:rsidR="0062737E" w:rsidRDefault="0062737E" w:rsidP="00520705">
            <w:pPr>
              <w:pStyle w:val="NormalWeb"/>
              <w:spacing w:before="0" w:beforeAutospacing="0" w:after="0" w:afterAutospacing="0" w:line="330" w:lineRule="atLeast"/>
              <w:rPr>
                <w:rFonts w:ascii="Helvetica" w:hAnsi="Helvetica" w:cs="Helvetica"/>
                <w:color w:val="363636"/>
              </w:rPr>
            </w:pPr>
            <w:r>
              <w:rPr>
                <w:rFonts w:ascii="Helvetica" w:hAnsi="Helvetica" w:cs="Helvetica"/>
                <w:color w:val="363636"/>
              </w:rPr>
              <w:t>Teacher Says…</w:t>
            </w: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tc>
        <w:tc>
          <w:tcPr>
            <w:tcW w:w="4788" w:type="dxa"/>
          </w:tcPr>
          <w:p w:rsidR="0062737E" w:rsidRDefault="0062737E" w:rsidP="00520705">
            <w:pPr>
              <w:pStyle w:val="NormalWeb"/>
              <w:spacing w:before="0" w:beforeAutospacing="0" w:after="0" w:afterAutospacing="0" w:line="330" w:lineRule="atLeast"/>
              <w:rPr>
                <w:rFonts w:ascii="Helvetica" w:hAnsi="Helvetica" w:cs="Helvetica"/>
                <w:color w:val="363636"/>
              </w:rPr>
            </w:pPr>
            <w:r>
              <w:rPr>
                <w:rFonts w:ascii="Helvetica" w:hAnsi="Helvetica" w:cs="Helvetica"/>
                <w:color w:val="363636"/>
              </w:rPr>
              <w:t>Student Says…</w:t>
            </w: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tc>
      </w:tr>
      <w:tr w:rsidR="0062737E" w:rsidTr="0062737E">
        <w:tc>
          <w:tcPr>
            <w:tcW w:w="4788" w:type="dxa"/>
          </w:tcPr>
          <w:p w:rsidR="0062737E" w:rsidRDefault="0062737E" w:rsidP="00520705">
            <w:pPr>
              <w:pStyle w:val="NormalWeb"/>
              <w:spacing w:before="0" w:beforeAutospacing="0" w:after="0" w:afterAutospacing="0" w:line="330" w:lineRule="atLeast"/>
              <w:rPr>
                <w:rFonts w:ascii="Helvetica" w:hAnsi="Helvetica" w:cs="Helvetica"/>
                <w:color w:val="363636"/>
              </w:rPr>
            </w:pPr>
            <w:r>
              <w:rPr>
                <w:rFonts w:ascii="Helvetica" w:hAnsi="Helvetica" w:cs="Helvetica"/>
                <w:color w:val="363636"/>
              </w:rPr>
              <w:t>Teacher Does…</w:t>
            </w: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p w:rsidR="0062737E" w:rsidRDefault="0062737E" w:rsidP="00520705">
            <w:pPr>
              <w:pStyle w:val="NormalWeb"/>
              <w:spacing w:before="0" w:beforeAutospacing="0" w:after="0" w:afterAutospacing="0" w:line="330" w:lineRule="atLeast"/>
              <w:rPr>
                <w:rFonts w:ascii="Helvetica" w:hAnsi="Helvetica" w:cs="Helvetica"/>
                <w:color w:val="363636"/>
              </w:rPr>
            </w:pPr>
          </w:p>
        </w:tc>
        <w:tc>
          <w:tcPr>
            <w:tcW w:w="4788" w:type="dxa"/>
          </w:tcPr>
          <w:p w:rsidR="0062737E" w:rsidRDefault="0062737E" w:rsidP="00520705">
            <w:pPr>
              <w:pStyle w:val="NormalWeb"/>
              <w:spacing w:before="0" w:beforeAutospacing="0" w:after="0" w:afterAutospacing="0" w:line="330" w:lineRule="atLeast"/>
              <w:rPr>
                <w:rFonts w:ascii="Helvetica" w:hAnsi="Helvetica" w:cs="Helvetica"/>
                <w:color w:val="363636"/>
              </w:rPr>
            </w:pPr>
            <w:r>
              <w:rPr>
                <w:rFonts w:ascii="Helvetica" w:hAnsi="Helvetica" w:cs="Helvetica"/>
                <w:color w:val="363636"/>
              </w:rPr>
              <w:t>Student Does…</w:t>
            </w:r>
          </w:p>
        </w:tc>
      </w:tr>
    </w:tbl>
    <w:p w:rsidR="0062737E" w:rsidRPr="0062737E" w:rsidRDefault="0062737E" w:rsidP="00520705">
      <w:pPr>
        <w:pStyle w:val="NormalWeb"/>
        <w:shd w:val="clear" w:color="auto" w:fill="FFFFFF"/>
        <w:spacing w:before="0" w:beforeAutospacing="0" w:after="0" w:afterAutospacing="0" w:line="330" w:lineRule="atLeast"/>
        <w:rPr>
          <w:rFonts w:ascii="Helvetica" w:hAnsi="Helvetica" w:cs="Helvetica"/>
          <w:color w:val="363636"/>
        </w:rPr>
      </w:pPr>
    </w:p>
    <w:sectPr w:rsidR="0062737E" w:rsidRPr="00627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05"/>
    <w:rsid w:val="002361E1"/>
    <w:rsid w:val="003E6139"/>
    <w:rsid w:val="00504FF1"/>
    <w:rsid w:val="00520705"/>
    <w:rsid w:val="0062737E"/>
    <w:rsid w:val="007D33D5"/>
    <w:rsid w:val="00A91CFF"/>
    <w:rsid w:val="00D9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7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0705"/>
  </w:style>
  <w:style w:type="character" w:styleId="Hyperlink">
    <w:name w:val="Hyperlink"/>
    <w:basedOn w:val="DefaultParagraphFont"/>
    <w:uiPriority w:val="99"/>
    <w:semiHidden/>
    <w:unhideWhenUsed/>
    <w:rsid w:val="00520705"/>
    <w:rPr>
      <w:color w:val="0000FF"/>
      <w:u w:val="single"/>
    </w:rPr>
  </w:style>
  <w:style w:type="table" w:styleId="TableGrid">
    <w:name w:val="Table Grid"/>
    <w:basedOn w:val="TableNormal"/>
    <w:uiPriority w:val="59"/>
    <w:rsid w:val="0062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7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0705"/>
  </w:style>
  <w:style w:type="character" w:styleId="Hyperlink">
    <w:name w:val="Hyperlink"/>
    <w:basedOn w:val="DefaultParagraphFont"/>
    <w:uiPriority w:val="99"/>
    <w:semiHidden/>
    <w:unhideWhenUsed/>
    <w:rsid w:val="00520705"/>
    <w:rPr>
      <w:color w:val="0000FF"/>
      <w:u w:val="single"/>
    </w:rPr>
  </w:style>
  <w:style w:type="table" w:styleId="TableGrid">
    <w:name w:val="Table Grid"/>
    <w:basedOn w:val="TableNormal"/>
    <w:uiPriority w:val="59"/>
    <w:rsid w:val="0062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5105">
      <w:bodyDiv w:val="1"/>
      <w:marLeft w:val="0"/>
      <w:marRight w:val="0"/>
      <w:marTop w:val="0"/>
      <w:marBottom w:val="0"/>
      <w:divBdr>
        <w:top w:val="none" w:sz="0" w:space="0" w:color="auto"/>
        <w:left w:val="none" w:sz="0" w:space="0" w:color="auto"/>
        <w:bottom w:val="none" w:sz="0" w:space="0" w:color="auto"/>
        <w:right w:val="none" w:sz="0" w:space="0" w:color="auto"/>
      </w:divBdr>
    </w:div>
    <w:div w:id="13452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d.org/publications/books/108048/chapters/Evaluating-Instruction.aspx" TargetMode="External"/><Relationship Id="rId5" Type="http://schemas.openxmlformats.org/officeDocument/2006/relationships/hyperlink" Target="http://www.ascd.org/Publications/Books/Overview/Instruction-That-Measures-U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Treece, Amy - Division of Program Standards</dc:creator>
  <cp:lastModifiedBy>dwaggon</cp:lastModifiedBy>
  <cp:revision>2</cp:revision>
  <cp:lastPrinted>2014-10-28T15:32:00Z</cp:lastPrinted>
  <dcterms:created xsi:type="dcterms:W3CDTF">2014-11-11T15:57:00Z</dcterms:created>
  <dcterms:modified xsi:type="dcterms:W3CDTF">2014-11-11T15:57:00Z</dcterms:modified>
</cp:coreProperties>
</file>