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33" w:rsidRPr="00672833" w:rsidRDefault="00672833" w:rsidP="00672833">
      <w:pPr>
        <w:shd w:val="clear" w:color="auto" w:fill="FAFAFA"/>
        <w:spacing w:after="150" w:line="264" w:lineRule="atLeast"/>
        <w:outlineLvl w:val="3"/>
        <w:rPr>
          <w:rFonts w:ascii="Verdana" w:eastAsia="Times New Roman" w:hAnsi="Verdana" w:cs="Arial"/>
          <w:color w:val="F87614"/>
          <w:sz w:val="32"/>
          <w:szCs w:val="32"/>
        </w:rPr>
      </w:pPr>
      <w:r w:rsidRPr="00672833">
        <w:rPr>
          <w:rFonts w:ascii="Verdana" w:eastAsia="Times New Roman" w:hAnsi="Verdana" w:cs="Arial"/>
          <w:color w:val="F87614"/>
          <w:sz w:val="32"/>
          <w:szCs w:val="32"/>
        </w:rPr>
        <w:t>Teacher Professional Development: One Big Idea and Five Core Strategies</w:t>
      </w:r>
    </w:p>
    <w:p w:rsidR="00672833" w:rsidRPr="00672833" w:rsidRDefault="00672833" w:rsidP="00672833">
      <w:pPr>
        <w:numPr>
          <w:ilvl w:val="0"/>
          <w:numId w:val="3"/>
        </w:numPr>
        <w:shd w:val="clear" w:color="auto" w:fill="FAFAFA"/>
        <w:spacing w:after="0" w:line="240" w:lineRule="auto"/>
        <w:ind w:left="0"/>
        <w:rPr>
          <w:rFonts w:ascii="Arial" w:eastAsia="Times New Roman" w:hAnsi="Arial" w:cs="Arial"/>
          <w:color w:val="585C5A"/>
          <w:sz w:val="17"/>
          <w:szCs w:val="17"/>
        </w:rPr>
      </w:pPr>
      <w:r w:rsidRPr="00672833">
        <w:rPr>
          <w:rFonts w:ascii="Arial" w:eastAsia="Times New Roman" w:hAnsi="Arial" w:cs="Arial"/>
          <w:color w:val="585C5A"/>
          <w:sz w:val="17"/>
          <w:szCs w:val="17"/>
        </w:rPr>
        <w:t>By</w:t>
      </w:r>
      <w:hyperlink r:id="rId6" w:history="1">
        <w:r w:rsidRPr="00672833">
          <w:rPr>
            <w:rFonts w:ascii="Arial" w:eastAsia="Times New Roman" w:hAnsi="Arial" w:cs="Arial"/>
            <w:color w:val="0062AD"/>
            <w:sz w:val="17"/>
            <w:szCs w:val="17"/>
          </w:rPr>
          <w:t xml:space="preserve"> Kathy Dyer</w:t>
        </w:r>
      </w:hyperlink>
    </w:p>
    <w:p w:rsidR="00672833" w:rsidRPr="00672833" w:rsidRDefault="00672833" w:rsidP="00672833">
      <w:pPr>
        <w:numPr>
          <w:ilvl w:val="0"/>
          <w:numId w:val="3"/>
        </w:numPr>
        <w:shd w:val="clear" w:color="auto" w:fill="FAFAFA"/>
        <w:spacing w:after="0" w:line="240" w:lineRule="auto"/>
        <w:ind w:left="0"/>
        <w:rPr>
          <w:rFonts w:ascii="Arial" w:eastAsia="Times New Roman" w:hAnsi="Arial" w:cs="Arial"/>
          <w:color w:val="585C5A"/>
          <w:sz w:val="17"/>
          <w:szCs w:val="17"/>
        </w:rPr>
      </w:pPr>
      <w:hyperlink r:id="rId7" w:tooltip="2:23 pm" w:history="1">
        <w:r w:rsidRPr="00672833">
          <w:rPr>
            <w:rFonts w:ascii="Arial" w:eastAsia="Times New Roman" w:hAnsi="Arial" w:cs="Arial"/>
            <w:color w:val="0062AD"/>
            <w:sz w:val="17"/>
            <w:szCs w:val="17"/>
          </w:rPr>
          <w:t>December 17, 2012</w:t>
        </w:r>
      </w:hyperlink>
    </w:p>
    <w:p w:rsidR="00672833" w:rsidRPr="00672833" w:rsidRDefault="00672833" w:rsidP="00B35CDE">
      <w:pPr>
        <w:shd w:val="clear" w:color="auto" w:fill="FAFAFA"/>
        <w:spacing w:before="100" w:beforeAutospacing="1" w:after="0" w:line="270" w:lineRule="atLeast"/>
        <w:rPr>
          <w:rFonts w:ascii="Arial" w:eastAsia="Times New Roman" w:hAnsi="Arial" w:cs="Arial"/>
          <w:color w:val="585C5A"/>
          <w:sz w:val="20"/>
          <w:szCs w:val="20"/>
        </w:rPr>
      </w:pPr>
      <w:r>
        <w:rPr>
          <w:rFonts w:ascii="Arial" w:eastAsia="Times New Roman" w:hAnsi="Arial" w:cs="Arial"/>
          <w:noProof/>
          <w:color w:val="585C5A"/>
          <w:sz w:val="20"/>
          <w:szCs w:val="20"/>
        </w:rPr>
        <w:drawing>
          <wp:inline distT="0" distB="0" distL="0" distR="0">
            <wp:extent cx="3331845" cy="2209800"/>
            <wp:effectExtent l="0" t="0" r="1905" b="0"/>
            <wp:docPr id="2" name="Picture 2" descr="Teacher Professional Development:  One Big Idea and Five Core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er Professional Development:  One Big Idea and Five Core Strateg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845" cy="2209800"/>
                    </a:xfrm>
                    <a:prstGeom prst="rect">
                      <a:avLst/>
                    </a:prstGeom>
                    <a:noFill/>
                    <a:ln>
                      <a:noFill/>
                    </a:ln>
                  </pic:spPr>
                </pic:pic>
              </a:graphicData>
            </a:graphic>
          </wp:inline>
        </w:drawing>
      </w:r>
      <w:r w:rsidRPr="00672833">
        <w:rPr>
          <w:rFonts w:ascii="Arial" w:eastAsia="Times New Roman" w:hAnsi="Arial" w:cs="Arial"/>
          <w:color w:val="585C5A"/>
          <w:sz w:val="20"/>
          <w:szCs w:val="20"/>
        </w:rPr>
        <w:t>Many of the formative assessment strategies and techniques that we’ve blogged about are what teachers can use to elicit evidence of s</w:t>
      </w:r>
      <w:bookmarkStart w:id="0" w:name="_GoBack"/>
      <w:bookmarkEnd w:id="0"/>
      <w:r w:rsidRPr="00672833">
        <w:rPr>
          <w:rFonts w:ascii="Arial" w:eastAsia="Times New Roman" w:hAnsi="Arial" w:cs="Arial"/>
          <w:color w:val="585C5A"/>
          <w:sz w:val="20"/>
          <w:szCs w:val="20"/>
        </w:rPr>
        <w:t xml:space="preserve">tudent learning – the first step in understanding how they need to make changes in how they teach students. These formative assessment strategies are all born out of one big idea and five key strategies that not only make up our Keeping Learning on Track™ (KLT) </w:t>
      </w:r>
      <w:hyperlink r:id="rId9" w:history="1">
        <w:r w:rsidRPr="00672833">
          <w:rPr>
            <w:rFonts w:ascii="Arial" w:eastAsia="Times New Roman" w:hAnsi="Arial" w:cs="Arial"/>
            <w:color w:val="0062AD"/>
            <w:sz w:val="20"/>
            <w:szCs w:val="20"/>
          </w:rPr>
          <w:t>embedded teacher professional development</w:t>
        </w:r>
      </w:hyperlink>
      <w:r w:rsidRPr="00672833">
        <w:rPr>
          <w:rFonts w:ascii="Arial" w:eastAsia="Times New Roman" w:hAnsi="Arial" w:cs="Arial"/>
          <w:color w:val="585C5A"/>
          <w:sz w:val="20"/>
          <w:szCs w:val="20"/>
        </w:rPr>
        <w:t xml:space="preserve">, but are the foundation for Black and </w:t>
      </w:r>
      <w:proofErr w:type="spellStart"/>
      <w:r w:rsidRPr="00672833">
        <w:rPr>
          <w:rFonts w:ascii="Arial" w:eastAsia="Times New Roman" w:hAnsi="Arial" w:cs="Arial"/>
          <w:color w:val="585C5A"/>
          <w:sz w:val="20"/>
          <w:szCs w:val="20"/>
        </w:rPr>
        <w:t>Wiliams</w:t>
      </w:r>
      <w:proofErr w:type="spellEnd"/>
      <w:r w:rsidRPr="00672833">
        <w:rPr>
          <w:rFonts w:ascii="Arial" w:eastAsia="Times New Roman" w:hAnsi="Arial" w:cs="Arial"/>
          <w:color w:val="585C5A"/>
          <w:sz w:val="20"/>
          <w:szCs w:val="20"/>
        </w:rPr>
        <w:t xml:space="preserve">’ research in </w:t>
      </w:r>
      <w:r w:rsidRPr="00672833">
        <w:rPr>
          <w:rFonts w:ascii="Arial" w:eastAsia="Times New Roman" w:hAnsi="Arial" w:cs="Arial"/>
          <w:i/>
          <w:iCs/>
          <w:color w:val="585C5A"/>
          <w:sz w:val="20"/>
          <w:szCs w:val="20"/>
        </w:rPr>
        <w:t>Inside the Black Box.</w:t>
      </w:r>
    </w:p>
    <w:p w:rsidR="00672833" w:rsidRPr="00672833" w:rsidRDefault="00672833" w:rsidP="00672833">
      <w:pPr>
        <w:shd w:val="clear" w:color="auto" w:fill="FAFAFA"/>
        <w:spacing w:before="100" w:beforeAutospacing="1" w:after="225" w:line="270" w:lineRule="atLeast"/>
        <w:rPr>
          <w:rFonts w:ascii="Arial" w:eastAsia="Times New Roman" w:hAnsi="Arial" w:cs="Arial"/>
          <w:color w:val="585C5A"/>
          <w:sz w:val="20"/>
          <w:szCs w:val="20"/>
        </w:rPr>
      </w:pPr>
      <w:r w:rsidRPr="00672833">
        <w:rPr>
          <w:rFonts w:ascii="Arial" w:eastAsia="Times New Roman" w:hAnsi="Arial" w:cs="Arial"/>
          <w:color w:val="585C5A"/>
          <w:sz w:val="20"/>
          <w:szCs w:val="20"/>
        </w:rPr>
        <w:t xml:space="preserve">The one big idea is fundamental to improving student learning. </w:t>
      </w:r>
      <w:r w:rsidRPr="00672833">
        <w:rPr>
          <w:rFonts w:ascii="Arial" w:eastAsia="Times New Roman" w:hAnsi="Arial" w:cs="Arial"/>
          <w:b/>
          <w:color w:val="585C5A"/>
          <w:sz w:val="20"/>
          <w:szCs w:val="20"/>
        </w:rPr>
        <w:t xml:space="preserve">That is, students and teachers continuously using evidence of learning to adapt what happens in the classroom. </w:t>
      </w:r>
      <w:r w:rsidRPr="00672833">
        <w:rPr>
          <w:rFonts w:ascii="Arial" w:eastAsia="Times New Roman" w:hAnsi="Arial" w:cs="Arial"/>
          <w:color w:val="585C5A"/>
          <w:sz w:val="20"/>
          <w:szCs w:val="20"/>
        </w:rPr>
        <w:t>If educators can truly understand whether all students comprehend learning targets, they can effect positive change. The five key strategies that support this one big idea ultimately lead to the formative assessment strategies and techniques:</w:t>
      </w:r>
    </w:p>
    <w:p w:rsidR="00672833" w:rsidRPr="00672833" w:rsidRDefault="00672833" w:rsidP="00672833">
      <w:pPr>
        <w:shd w:val="clear" w:color="auto" w:fill="FAFAFA"/>
        <w:spacing w:beforeAutospacing="1" w:after="0" w:line="270" w:lineRule="atLeast"/>
        <w:rPr>
          <w:rFonts w:ascii="Arial" w:eastAsia="Times New Roman" w:hAnsi="Arial" w:cs="Arial"/>
          <w:color w:val="585C5A"/>
          <w:sz w:val="20"/>
          <w:szCs w:val="20"/>
        </w:rPr>
      </w:pPr>
      <w:r w:rsidRPr="00672833">
        <w:rPr>
          <w:rFonts w:ascii="Arial" w:eastAsia="Times New Roman" w:hAnsi="Arial" w:cs="Arial"/>
          <w:b/>
          <w:bCs/>
          <w:color w:val="585C5A"/>
          <w:sz w:val="20"/>
          <w:szCs w:val="20"/>
        </w:rPr>
        <w:t>1. Clarifying, sharing, and understanding learning targets and success criteria</w:t>
      </w:r>
      <w:r w:rsidRPr="00672833">
        <w:rPr>
          <w:rFonts w:ascii="Arial" w:eastAsia="Times New Roman" w:hAnsi="Arial" w:cs="Arial"/>
          <w:color w:val="585C5A"/>
          <w:sz w:val="20"/>
          <w:szCs w:val="20"/>
        </w:rPr>
        <w:t xml:space="preserve">. The students need to know what they are being taught, and what the measurements for success are, so </w:t>
      </w:r>
      <w:hyperlink r:id="rId10" w:history="1">
        <w:r w:rsidRPr="00672833">
          <w:rPr>
            <w:rFonts w:ascii="Arial" w:eastAsia="Times New Roman" w:hAnsi="Arial" w:cs="Arial"/>
            <w:color w:val="0062AD"/>
            <w:sz w:val="20"/>
            <w:szCs w:val="20"/>
          </w:rPr>
          <w:t>setting expectations is crucial</w:t>
        </w:r>
      </w:hyperlink>
      <w:r w:rsidRPr="00672833">
        <w:rPr>
          <w:rFonts w:ascii="Arial" w:eastAsia="Times New Roman" w:hAnsi="Arial" w:cs="Arial"/>
          <w:color w:val="585C5A"/>
          <w:sz w:val="20"/>
          <w:szCs w:val="20"/>
        </w:rPr>
        <w:t>.</w:t>
      </w:r>
    </w:p>
    <w:p w:rsidR="00672833" w:rsidRPr="00672833" w:rsidRDefault="00672833" w:rsidP="00672833">
      <w:pPr>
        <w:shd w:val="clear" w:color="auto" w:fill="FAFAFA"/>
        <w:spacing w:before="100" w:beforeAutospacing="1" w:after="225" w:line="270" w:lineRule="atLeast"/>
        <w:rPr>
          <w:rFonts w:ascii="Arial" w:eastAsia="Times New Roman" w:hAnsi="Arial" w:cs="Arial"/>
          <w:color w:val="585C5A"/>
          <w:sz w:val="20"/>
          <w:szCs w:val="20"/>
        </w:rPr>
      </w:pPr>
      <w:r w:rsidRPr="00672833">
        <w:rPr>
          <w:rFonts w:ascii="Arial" w:eastAsia="Times New Roman" w:hAnsi="Arial" w:cs="Arial"/>
          <w:b/>
          <w:bCs/>
          <w:color w:val="585C5A"/>
          <w:sz w:val="20"/>
          <w:szCs w:val="20"/>
        </w:rPr>
        <w:t>2. Engineering effective classroom discussions, questions, and learning tasks that elicit evidence of learning</w:t>
      </w:r>
      <w:r w:rsidRPr="00672833">
        <w:rPr>
          <w:rFonts w:ascii="Arial" w:eastAsia="Times New Roman" w:hAnsi="Arial" w:cs="Arial"/>
          <w:color w:val="585C5A"/>
          <w:sz w:val="20"/>
          <w:szCs w:val="20"/>
        </w:rPr>
        <w:t>. This is certainly core to formative assessment techniques that ultimately get introduced into the classroom, but also a key part of the teacher professional development that KLT structures.</w:t>
      </w:r>
    </w:p>
    <w:p w:rsidR="00672833" w:rsidRPr="00672833" w:rsidRDefault="00672833" w:rsidP="00672833">
      <w:pPr>
        <w:shd w:val="clear" w:color="auto" w:fill="FAFAFA"/>
        <w:spacing w:before="100" w:beforeAutospacing="1" w:after="225" w:line="270" w:lineRule="atLeast"/>
        <w:rPr>
          <w:rFonts w:ascii="Arial" w:eastAsia="Times New Roman" w:hAnsi="Arial" w:cs="Arial"/>
          <w:color w:val="585C5A"/>
          <w:sz w:val="20"/>
          <w:szCs w:val="20"/>
        </w:rPr>
      </w:pPr>
      <w:r w:rsidRPr="00672833">
        <w:rPr>
          <w:rFonts w:ascii="Arial" w:eastAsia="Times New Roman" w:hAnsi="Arial" w:cs="Arial"/>
          <w:b/>
          <w:bCs/>
          <w:color w:val="585C5A"/>
          <w:sz w:val="20"/>
          <w:szCs w:val="20"/>
        </w:rPr>
        <w:t>3. Providing feedback that moves learners forward</w:t>
      </w:r>
      <w:r w:rsidRPr="00672833">
        <w:rPr>
          <w:rFonts w:ascii="Arial" w:eastAsia="Times New Roman" w:hAnsi="Arial" w:cs="Arial"/>
          <w:color w:val="585C5A"/>
          <w:sz w:val="20"/>
          <w:szCs w:val="20"/>
        </w:rPr>
        <w:t>. More than a grade, the feedback needs to be instructive and come not only from teachers but fellow students.</w:t>
      </w:r>
    </w:p>
    <w:p w:rsidR="00672833" w:rsidRPr="00672833" w:rsidRDefault="00672833" w:rsidP="00672833">
      <w:pPr>
        <w:shd w:val="clear" w:color="auto" w:fill="FAFAFA"/>
        <w:spacing w:beforeAutospacing="1" w:after="0" w:line="270" w:lineRule="atLeast"/>
        <w:rPr>
          <w:rFonts w:ascii="Arial" w:eastAsia="Times New Roman" w:hAnsi="Arial" w:cs="Arial"/>
          <w:color w:val="585C5A"/>
          <w:sz w:val="20"/>
          <w:szCs w:val="20"/>
        </w:rPr>
      </w:pPr>
      <w:r w:rsidRPr="00672833">
        <w:rPr>
          <w:rFonts w:ascii="Arial" w:eastAsia="Times New Roman" w:hAnsi="Arial" w:cs="Arial"/>
          <w:b/>
          <w:bCs/>
          <w:color w:val="585C5A"/>
          <w:sz w:val="20"/>
          <w:szCs w:val="20"/>
        </w:rPr>
        <w:t>4. Activating students as the owners of their own learning</w:t>
      </w:r>
      <w:r w:rsidRPr="00672833">
        <w:rPr>
          <w:rFonts w:ascii="Arial" w:eastAsia="Times New Roman" w:hAnsi="Arial" w:cs="Arial"/>
          <w:color w:val="585C5A"/>
          <w:sz w:val="20"/>
          <w:szCs w:val="20"/>
        </w:rPr>
        <w:t xml:space="preserve">. The students need to become involved in their own education and having them assess their own work can play a role in this. One of our previous blogs highlighted the </w:t>
      </w:r>
      <w:hyperlink r:id="rId11" w:history="1">
        <w:r w:rsidRPr="00672833">
          <w:rPr>
            <w:rFonts w:ascii="Arial" w:eastAsia="Times New Roman" w:hAnsi="Arial" w:cs="Arial"/>
            <w:color w:val="0062AD"/>
            <w:sz w:val="20"/>
            <w:szCs w:val="20"/>
          </w:rPr>
          <w:t>research behind this thinking</w:t>
        </w:r>
      </w:hyperlink>
      <w:r w:rsidRPr="00672833">
        <w:rPr>
          <w:rFonts w:ascii="Arial" w:eastAsia="Times New Roman" w:hAnsi="Arial" w:cs="Arial"/>
          <w:color w:val="585C5A"/>
          <w:sz w:val="20"/>
          <w:szCs w:val="20"/>
        </w:rPr>
        <w:t>.</w:t>
      </w:r>
    </w:p>
    <w:p w:rsidR="00672833" w:rsidRPr="00672833" w:rsidRDefault="00672833" w:rsidP="00672833">
      <w:pPr>
        <w:shd w:val="clear" w:color="auto" w:fill="FAFAFA"/>
        <w:spacing w:before="100" w:beforeAutospacing="1" w:after="225" w:line="270" w:lineRule="atLeast"/>
        <w:rPr>
          <w:rFonts w:ascii="Arial" w:eastAsia="Times New Roman" w:hAnsi="Arial" w:cs="Arial"/>
          <w:color w:val="585C5A"/>
          <w:sz w:val="20"/>
          <w:szCs w:val="20"/>
        </w:rPr>
      </w:pPr>
      <w:r w:rsidRPr="00672833">
        <w:rPr>
          <w:rFonts w:ascii="Arial" w:eastAsia="Times New Roman" w:hAnsi="Arial" w:cs="Arial"/>
          <w:b/>
          <w:bCs/>
          <w:color w:val="585C5A"/>
          <w:sz w:val="20"/>
          <w:szCs w:val="20"/>
        </w:rPr>
        <w:t>5. Activating students as instructional resources for one another</w:t>
      </w:r>
      <w:r w:rsidRPr="00672833">
        <w:rPr>
          <w:rFonts w:ascii="Arial" w:eastAsia="Times New Roman" w:hAnsi="Arial" w:cs="Arial"/>
          <w:color w:val="585C5A"/>
          <w:sz w:val="20"/>
          <w:szCs w:val="20"/>
        </w:rPr>
        <w:t>. Collaboration among students is just as important as collaboration among teachers in improving student learning.</w:t>
      </w:r>
    </w:p>
    <w:p w:rsidR="00672833" w:rsidRDefault="00672833" w:rsidP="00A03A6F">
      <w:pPr>
        <w:shd w:val="clear" w:color="auto" w:fill="FAFAFA"/>
        <w:spacing w:before="100" w:beforeAutospacing="1" w:line="270" w:lineRule="atLeast"/>
        <w:rPr>
          <w:rFonts w:ascii="Arial" w:eastAsia="Times New Roman" w:hAnsi="Arial" w:cs="Arial"/>
          <w:color w:val="585C5A"/>
          <w:sz w:val="20"/>
          <w:szCs w:val="20"/>
        </w:rPr>
      </w:pPr>
      <w:r w:rsidRPr="00672833">
        <w:rPr>
          <w:rFonts w:ascii="Arial" w:eastAsia="Times New Roman" w:hAnsi="Arial" w:cs="Arial"/>
          <w:color w:val="585C5A"/>
          <w:sz w:val="20"/>
          <w:szCs w:val="20"/>
        </w:rPr>
        <w:t>Breaking down teacher professional development into one big idea and five core strategies makes success achievable and realistic. By focusing one or two strategies at a time, and seeing what works in their classroom, teachers can share success collaboratively and improve student learning.</w:t>
      </w:r>
    </w:p>
    <w:p w:rsidR="00A03A6F" w:rsidRDefault="00A03A6F" w:rsidP="00A03A6F">
      <w:pPr>
        <w:shd w:val="clear" w:color="auto" w:fill="FAFAFA"/>
        <w:spacing w:before="100" w:beforeAutospacing="1" w:line="270" w:lineRule="atLeast"/>
        <w:rPr>
          <w:rFonts w:ascii="Arial" w:eastAsia="Times New Roman" w:hAnsi="Arial" w:cs="Arial"/>
          <w:color w:val="585C5A"/>
          <w:sz w:val="20"/>
          <w:szCs w:val="20"/>
        </w:rPr>
      </w:pPr>
      <w:hyperlink r:id="rId12" w:history="1">
        <w:r w:rsidRPr="00915D24">
          <w:rPr>
            <w:rStyle w:val="Hyperlink"/>
            <w:rFonts w:ascii="Arial" w:eastAsia="Times New Roman" w:hAnsi="Arial" w:cs="Arial"/>
            <w:sz w:val="20"/>
            <w:szCs w:val="20"/>
          </w:rPr>
          <w:t>http://www.nwea.org/blog/2012/teacher-professional-development-one-big-idea-and-five-core-strategies/</w:t>
        </w:r>
      </w:hyperlink>
    </w:p>
    <w:p w:rsidR="00A20BDF" w:rsidRPr="00A20BDF" w:rsidRDefault="00A20BDF" w:rsidP="00A20BDF">
      <w:pPr>
        <w:shd w:val="clear" w:color="auto" w:fill="FAFAFA"/>
        <w:spacing w:after="150" w:line="264" w:lineRule="atLeast"/>
        <w:outlineLvl w:val="3"/>
        <w:rPr>
          <w:rFonts w:ascii="Verdana" w:eastAsia="Times New Roman" w:hAnsi="Verdana" w:cs="Arial"/>
          <w:color w:val="F87614"/>
          <w:sz w:val="32"/>
          <w:szCs w:val="32"/>
        </w:rPr>
      </w:pPr>
      <w:r w:rsidRPr="00A20BDF">
        <w:rPr>
          <w:rFonts w:ascii="Verdana" w:eastAsia="Times New Roman" w:hAnsi="Verdana" w:cs="Arial"/>
          <w:color w:val="F87614"/>
          <w:sz w:val="32"/>
          <w:szCs w:val="32"/>
        </w:rPr>
        <w:lastRenderedPageBreak/>
        <w:t xml:space="preserve">Dylan </w:t>
      </w:r>
      <w:proofErr w:type="spellStart"/>
      <w:r w:rsidRPr="00A20BDF">
        <w:rPr>
          <w:rFonts w:ascii="Verdana" w:eastAsia="Times New Roman" w:hAnsi="Verdana" w:cs="Arial"/>
          <w:color w:val="F87614"/>
          <w:sz w:val="32"/>
          <w:szCs w:val="32"/>
        </w:rPr>
        <w:t>Wiliam</w:t>
      </w:r>
      <w:proofErr w:type="spellEnd"/>
      <w:r w:rsidRPr="00A20BDF">
        <w:rPr>
          <w:rFonts w:ascii="Verdana" w:eastAsia="Times New Roman" w:hAnsi="Verdana" w:cs="Arial"/>
          <w:color w:val="F87614"/>
          <w:sz w:val="32"/>
          <w:szCs w:val="32"/>
        </w:rPr>
        <w:t>: Unpacking Formative Assessment</w:t>
      </w:r>
    </w:p>
    <w:p w:rsidR="00A20BDF" w:rsidRPr="00A20BDF" w:rsidRDefault="00A20BDF" w:rsidP="00A20BDF">
      <w:pPr>
        <w:numPr>
          <w:ilvl w:val="0"/>
          <w:numId w:val="2"/>
        </w:numPr>
        <w:shd w:val="clear" w:color="auto" w:fill="FAFAFA"/>
        <w:spacing w:after="0" w:line="240" w:lineRule="auto"/>
        <w:ind w:left="0"/>
        <w:rPr>
          <w:rFonts w:ascii="Arial" w:eastAsia="Times New Roman" w:hAnsi="Arial" w:cs="Arial"/>
          <w:color w:val="585C5A"/>
          <w:sz w:val="17"/>
          <w:szCs w:val="17"/>
        </w:rPr>
      </w:pPr>
      <w:r w:rsidRPr="00A20BDF">
        <w:rPr>
          <w:rFonts w:ascii="Arial" w:eastAsia="Times New Roman" w:hAnsi="Arial" w:cs="Arial"/>
          <w:color w:val="585C5A"/>
          <w:sz w:val="17"/>
          <w:szCs w:val="17"/>
        </w:rPr>
        <w:t>By</w:t>
      </w:r>
      <w:hyperlink r:id="rId13" w:history="1">
        <w:r w:rsidRPr="00A20BDF">
          <w:rPr>
            <w:rFonts w:ascii="Arial" w:eastAsia="Times New Roman" w:hAnsi="Arial" w:cs="Arial"/>
            <w:color w:val="0062AD"/>
            <w:sz w:val="17"/>
            <w:szCs w:val="17"/>
          </w:rPr>
          <w:t xml:space="preserve"> Kathy Dyer</w:t>
        </w:r>
      </w:hyperlink>
    </w:p>
    <w:p w:rsidR="00A20BDF" w:rsidRPr="00A20BDF" w:rsidRDefault="00A20BDF" w:rsidP="00A20BDF">
      <w:pPr>
        <w:numPr>
          <w:ilvl w:val="0"/>
          <w:numId w:val="2"/>
        </w:numPr>
        <w:shd w:val="clear" w:color="auto" w:fill="FAFAFA"/>
        <w:spacing w:after="0" w:line="240" w:lineRule="auto"/>
        <w:ind w:left="0"/>
        <w:rPr>
          <w:rFonts w:ascii="Arial" w:eastAsia="Times New Roman" w:hAnsi="Arial" w:cs="Arial"/>
          <w:color w:val="585C5A"/>
          <w:sz w:val="17"/>
          <w:szCs w:val="17"/>
        </w:rPr>
      </w:pPr>
      <w:hyperlink r:id="rId14" w:tooltip="1:30 pm" w:history="1">
        <w:r w:rsidRPr="00A20BDF">
          <w:rPr>
            <w:rFonts w:ascii="Arial" w:eastAsia="Times New Roman" w:hAnsi="Arial" w:cs="Arial"/>
            <w:color w:val="0062AD"/>
            <w:sz w:val="17"/>
            <w:szCs w:val="17"/>
          </w:rPr>
          <w:t>January 7, 2013</w:t>
        </w:r>
      </w:hyperlink>
    </w:p>
    <w:p w:rsidR="00A20BDF" w:rsidRPr="00A20BDF" w:rsidRDefault="00A20BDF" w:rsidP="00A20BDF">
      <w:pPr>
        <w:shd w:val="clear" w:color="auto" w:fill="FAFAFA"/>
        <w:spacing w:beforeAutospacing="1" w:after="0" w:line="270" w:lineRule="atLeast"/>
        <w:rPr>
          <w:rFonts w:ascii="Arial" w:eastAsia="Times New Roman" w:hAnsi="Arial" w:cs="Arial"/>
          <w:color w:val="585C5A"/>
          <w:sz w:val="20"/>
          <w:szCs w:val="20"/>
        </w:rPr>
      </w:pPr>
      <w:r w:rsidRPr="00A20BDF">
        <w:rPr>
          <w:rFonts w:ascii="Arial" w:eastAsia="Times New Roman" w:hAnsi="Arial" w:cs="Arial"/>
          <w:color w:val="585C5A"/>
          <w:sz w:val="20"/>
          <w:szCs w:val="20"/>
        </w:rPr>
        <w:t xml:space="preserve">At Fusion 2012 back in June, Dylan </w:t>
      </w:r>
      <w:proofErr w:type="spellStart"/>
      <w:r w:rsidRPr="00A20BDF">
        <w:rPr>
          <w:rFonts w:ascii="Arial" w:eastAsia="Times New Roman" w:hAnsi="Arial" w:cs="Arial"/>
          <w:color w:val="585C5A"/>
          <w:sz w:val="20"/>
          <w:szCs w:val="20"/>
        </w:rPr>
        <w:t>Wiliam</w:t>
      </w:r>
      <w:proofErr w:type="spellEnd"/>
      <w:r w:rsidRPr="00A20BDF">
        <w:rPr>
          <w:rFonts w:ascii="Arial" w:eastAsia="Times New Roman" w:hAnsi="Arial" w:cs="Arial"/>
          <w:color w:val="585C5A"/>
          <w:sz w:val="20"/>
          <w:szCs w:val="20"/>
        </w:rPr>
        <w:t xml:space="preserve"> spoke about the general confusion that hangs over the definition of formative assessment. In fact, we even wrote a blog entitled </w:t>
      </w:r>
      <w:hyperlink r:id="rId15" w:history="1">
        <w:proofErr w:type="gramStart"/>
        <w:r w:rsidRPr="00A20BDF">
          <w:rPr>
            <w:rFonts w:ascii="Arial" w:eastAsia="Times New Roman" w:hAnsi="Arial" w:cs="Arial"/>
            <w:color w:val="0062AD"/>
            <w:sz w:val="20"/>
            <w:szCs w:val="20"/>
          </w:rPr>
          <w:t>What</w:t>
        </w:r>
        <w:proofErr w:type="gramEnd"/>
        <w:r w:rsidRPr="00A20BDF">
          <w:rPr>
            <w:rFonts w:ascii="Arial" w:eastAsia="Times New Roman" w:hAnsi="Arial" w:cs="Arial"/>
            <w:color w:val="0062AD"/>
            <w:sz w:val="20"/>
            <w:szCs w:val="20"/>
          </w:rPr>
          <w:t xml:space="preserve"> is Formative Assessment?</w:t>
        </w:r>
      </w:hyperlink>
      <w:r w:rsidRPr="00A20BDF">
        <w:rPr>
          <w:rFonts w:ascii="Arial" w:eastAsia="Times New Roman" w:hAnsi="Arial" w:cs="Arial"/>
          <w:color w:val="585C5A"/>
          <w:sz w:val="20"/>
          <w:szCs w:val="20"/>
        </w:rPr>
        <w:t xml:space="preserve"> </w:t>
      </w:r>
      <w:proofErr w:type="gramStart"/>
      <w:r w:rsidRPr="00A20BDF">
        <w:rPr>
          <w:rFonts w:ascii="Arial" w:eastAsia="Times New Roman" w:hAnsi="Arial" w:cs="Arial"/>
          <w:color w:val="585C5A"/>
          <w:sz w:val="20"/>
          <w:szCs w:val="20"/>
        </w:rPr>
        <w:t>to</w:t>
      </w:r>
      <w:proofErr w:type="gramEnd"/>
      <w:r w:rsidRPr="00A20BDF">
        <w:rPr>
          <w:rFonts w:ascii="Arial" w:eastAsia="Times New Roman" w:hAnsi="Arial" w:cs="Arial"/>
          <w:color w:val="585C5A"/>
          <w:sz w:val="20"/>
          <w:szCs w:val="20"/>
        </w:rPr>
        <w:t xml:space="preserve"> address this confusion and define what we think it means. Here’s our definition:</w:t>
      </w:r>
    </w:p>
    <w:p w:rsidR="00A20BDF" w:rsidRPr="00A20BDF" w:rsidRDefault="00A20BDF" w:rsidP="00A20BDF">
      <w:pPr>
        <w:shd w:val="clear" w:color="auto" w:fill="FAFAFA"/>
        <w:spacing w:before="100" w:beforeAutospacing="1" w:after="225" w:line="270" w:lineRule="atLeast"/>
        <w:rPr>
          <w:rFonts w:ascii="Arial" w:eastAsia="Times New Roman" w:hAnsi="Arial" w:cs="Arial"/>
          <w:color w:val="585C5A"/>
          <w:sz w:val="20"/>
          <w:szCs w:val="20"/>
        </w:rPr>
      </w:pPr>
      <w:proofErr w:type="gramStart"/>
      <w:r w:rsidRPr="00A20BDF">
        <w:rPr>
          <w:rFonts w:ascii="Arial" w:eastAsia="Times New Roman" w:hAnsi="Arial" w:cs="Arial"/>
          <w:i/>
          <w:iCs/>
          <w:color w:val="585C5A"/>
          <w:sz w:val="20"/>
          <w:szCs w:val="20"/>
        </w:rPr>
        <w:t>A planned practice to elicit evidence of learning minute to minute, day by day in the classroom; along with non-summative assessments that occur while content is still being taught.</w:t>
      </w:r>
      <w:proofErr w:type="gramEnd"/>
      <w:r w:rsidRPr="00A20BDF">
        <w:rPr>
          <w:rFonts w:ascii="Arial" w:eastAsia="Times New Roman" w:hAnsi="Arial" w:cs="Arial"/>
          <w:i/>
          <w:iCs/>
          <w:color w:val="585C5A"/>
          <w:sz w:val="20"/>
          <w:szCs w:val="20"/>
        </w:rPr>
        <w:t xml:space="preserve"> Both of these can inform teachers of what students know or do not know, help students understand what it is they are ready to learn next, so teachers can adjust their instruction accordingly for each of their students.</w:t>
      </w:r>
    </w:p>
    <w:p w:rsidR="00A20BDF" w:rsidRDefault="00A20BDF" w:rsidP="00A03A6F">
      <w:pPr>
        <w:shd w:val="clear" w:color="auto" w:fill="FAFAFA"/>
        <w:spacing w:before="100" w:beforeAutospacing="1" w:line="270" w:lineRule="atLeast"/>
        <w:rPr>
          <w:rFonts w:ascii="Arial" w:eastAsia="Times New Roman" w:hAnsi="Arial" w:cs="Arial"/>
          <w:color w:val="585C5A"/>
          <w:sz w:val="20"/>
          <w:szCs w:val="20"/>
        </w:rPr>
      </w:pPr>
      <w:r w:rsidRPr="00A20BDF">
        <w:rPr>
          <w:rFonts w:ascii="Arial" w:eastAsia="Times New Roman" w:hAnsi="Arial" w:cs="Arial"/>
          <w:color w:val="585C5A"/>
          <w:sz w:val="20"/>
          <w:szCs w:val="20"/>
        </w:rPr>
        <w:t xml:space="preserve">In his keynote at the event, Dylan touched on “unpacking” formative assessment. You can watch that excerpt below, but the visual here also unpacks it nicely, with the three tracks of where the learner is going, where the learner is, and how to get there, supported by the </w:t>
      </w:r>
      <w:hyperlink r:id="rId16" w:history="1">
        <w:r w:rsidRPr="00A20BDF">
          <w:rPr>
            <w:rFonts w:ascii="Arial" w:eastAsia="Times New Roman" w:hAnsi="Arial" w:cs="Arial"/>
            <w:color w:val="0062AD"/>
            <w:sz w:val="20"/>
            <w:szCs w:val="20"/>
          </w:rPr>
          <w:t>five strategies of formative assessment</w:t>
        </w:r>
      </w:hyperlink>
      <w:r w:rsidRPr="00A20BDF">
        <w:rPr>
          <w:rFonts w:ascii="Arial" w:eastAsia="Times New Roman" w:hAnsi="Arial" w:cs="Arial"/>
          <w:color w:val="585C5A"/>
          <w:sz w:val="20"/>
          <w:szCs w:val="20"/>
        </w:rPr>
        <w:t xml:space="preserve"> that we’ve also blogged about recently.</w:t>
      </w:r>
    </w:p>
    <w:p w:rsidR="00A03A6F" w:rsidRPr="00A20BDF" w:rsidRDefault="00A03A6F" w:rsidP="00A03A6F">
      <w:pPr>
        <w:shd w:val="clear" w:color="auto" w:fill="FAFAFA"/>
        <w:spacing w:before="100" w:beforeAutospacing="1" w:line="270" w:lineRule="atLeast"/>
        <w:rPr>
          <w:rFonts w:ascii="Arial" w:eastAsia="Times New Roman" w:hAnsi="Arial" w:cs="Arial"/>
          <w:color w:val="585C5A"/>
          <w:sz w:val="20"/>
          <w:szCs w:val="20"/>
        </w:rPr>
      </w:pPr>
    </w:p>
    <w:p w:rsidR="00D51C0B" w:rsidRDefault="00A20BDF">
      <w:r>
        <w:rPr>
          <w:rFonts w:ascii="Arial" w:hAnsi="Arial" w:cs="Arial"/>
          <w:noProof/>
          <w:color w:val="585C5A"/>
          <w:sz w:val="20"/>
          <w:szCs w:val="20"/>
        </w:rPr>
        <w:drawing>
          <wp:inline distT="0" distB="0" distL="0" distR="0">
            <wp:extent cx="5839460" cy="3477260"/>
            <wp:effectExtent l="0" t="0" r="8890" b="8890"/>
            <wp:docPr id="1" name="Picture 1" descr="Unpacking Formativ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cking Formative Assess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9460" cy="3477260"/>
                    </a:xfrm>
                    <a:prstGeom prst="rect">
                      <a:avLst/>
                    </a:prstGeom>
                    <a:noFill/>
                    <a:ln>
                      <a:noFill/>
                    </a:ln>
                  </pic:spPr>
                </pic:pic>
              </a:graphicData>
            </a:graphic>
          </wp:inline>
        </w:drawing>
      </w:r>
    </w:p>
    <w:p w:rsidR="00A03A6F" w:rsidRDefault="00A03A6F">
      <w:pPr>
        <w:rPr>
          <w:rFonts w:ascii="Arial" w:hAnsi="Arial" w:cs="Arial"/>
          <w:color w:val="585C5A"/>
          <w:sz w:val="20"/>
          <w:szCs w:val="20"/>
        </w:rPr>
      </w:pPr>
    </w:p>
    <w:p w:rsidR="00A20BDF" w:rsidRDefault="00A20BDF">
      <w:pPr>
        <w:rPr>
          <w:rFonts w:ascii="Arial" w:hAnsi="Arial" w:cs="Arial"/>
          <w:color w:val="585C5A"/>
          <w:sz w:val="20"/>
          <w:szCs w:val="20"/>
        </w:rPr>
      </w:pPr>
      <w:r>
        <w:rPr>
          <w:rFonts w:ascii="Arial" w:hAnsi="Arial" w:cs="Arial"/>
          <w:color w:val="585C5A"/>
          <w:sz w:val="20"/>
          <w:szCs w:val="20"/>
        </w:rPr>
        <w:t xml:space="preserve">Dylan’s thoughts and the above illustration are really what make up our </w:t>
      </w:r>
      <w:hyperlink r:id="rId18" w:history="1">
        <w:r>
          <w:rPr>
            <w:rFonts w:ascii="Arial" w:hAnsi="Arial" w:cs="Arial"/>
            <w:color w:val="0062AD"/>
            <w:sz w:val="20"/>
            <w:szCs w:val="20"/>
          </w:rPr>
          <w:t>Keeping Learning on Track teacher professional development program</w:t>
        </w:r>
      </w:hyperlink>
      <w:r>
        <w:rPr>
          <w:rFonts w:ascii="Arial" w:hAnsi="Arial" w:cs="Arial"/>
          <w:color w:val="585C5A"/>
          <w:sz w:val="20"/>
          <w:szCs w:val="20"/>
        </w:rPr>
        <w:t>. If you haven’t as yet checked it out and are looking for a teacher PD program for your school or district it might be worth a peek. We’d love your thoughts as well, so drop a comment below.</w:t>
      </w:r>
    </w:p>
    <w:p w:rsidR="00A03A6F" w:rsidRDefault="00A03A6F">
      <w:hyperlink r:id="rId19" w:history="1">
        <w:r w:rsidRPr="00915D24">
          <w:rPr>
            <w:rStyle w:val="Hyperlink"/>
          </w:rPr>
          <w:t>http://www.nwea.org/blog/2013/dylan-wiliam-unpacking-formative-assessment/</w:t>
        </w:r>
      </w:hyperlink>
    </w:p>
    <w:p w:rsidR="00A03A6F" w:rsidRDefault="00A03A6F"/>
    <w:sectPr w:rsidR="00A03A6F" w:rsidSect="00672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5F9"/>
    <w:multiLevelType w:val="multilevel"/>
    <w:tmpl w:val="805E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086509"/>
    <w:multiLevelType w:val="multilevel"/>
    <w:tmpl w:val="AB5C9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B839A4"/>
    <w:multiLevelType w:val="multilevel"/>
    <w:tmpl w:val="F66C2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DF"/>
    <w:rsid w:val="0066156D"/>
    <w:rsid w:val="00672833"/>
    <w:rsid w:val="00A03A6F"/>
    <w:rsid w:val="00A20BDF"/>
    <w:rsid w:val="00B35CDE"/>
    <w:rsid w:val="00FA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0BDF"/>
    <w:rPr>
      <w:i/>
      <w:iCs/>
    </w:rPr>
  </w:style>
  <w:style w:type="paragraph" w:styleId="BalloonText">
    <w:name w:val="Balloon Text"/>
    <w:basedOn w:val="Normal"/>
    <w:link w:val="BalloonTextChar"/>
    <w:uiPriority w:val="99"/>
    <w:semiHidden/>
    <w:unhideWhenUsed/>
    <w:rsid w:val="00A20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DF"/>
    <w:rPr>
      <w:rFonts w:ascii="Tahoma" w:hAnsi="Tahoma" w:cs="Tahoma"/>
      <w:sz w:val="16"/>
      <w:szCs w:val="16"/>
    </w:rPr>
  </w:style>
  <w:style w:type="character" w:styleId="Strong">
    <w:name w:val="Strong"/>
    <w:basedOn w:val="DefaultParagraphFont"/>
    <w:uiPriority w:val="22"/>
    <w:qFormat/>
    <w:rsid w:val="00672833"/>
    <w:rPr>
      <w:b/>
      <w:bCs/>
    </w:rPr>
  </w:style>
  <w:style w:type="character" w:styleId="Hyperlink">
    <w:name w:val="Hyperlink"/>
    <w:basedOn w:val="DefaultParagraphFont"/>
    <w:uiPriority w:val="99"/>
    <w:unhideWhenUsed/>
    <w:rsid w:val="00A03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0BDF"/>
    <w:rPr>
      <w:i/>
      <w:iCs/>
    </w:rPr>
  </w:style>
  <w:style w:type="paragraph" w:styleId="BalloonText">
    <w:name w:val="Balloon Text"/>
    <w:basedOn w:val="Normal"/>
    <w:link w:val="BalloonTextChar"/>
    <w:uiPriority w:val="99"/>
    <w:semiHidden/>
    <w:unhideWhenUsed/>
    <w:rsid w:val="00A20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DF"/>
    <w:rPr>
      <w:rFonts w:ascii="Tahoma" w:hAnsi="Tahoma" w:cs="Tahoma"/>
      <w:sz w:val="16"/>
      <w:szCs w:val="16"/>
    </w:rPr>
  </w:style>
  <w:style w:type="character" w:styleId="Strong">
    <w:name w:val="Strong"/>
    <w:basedOn w:val="DefaultParagraphFont"/>
    <w:uiPriority w:val="22"/>
    <w:qFormat/>
    <w:rsid w:val="00672833"/>
    <w:rPr>
      <w:b/>
      <w:bCs/>
    </w:rPr>
  </w:style>
  <w:style w:type="character" w:styleId="Hyperlink">
    <w:name w:val="Hyperlink"/>
    <w:basedOn w:val="DefaultParagraphFont"/>
    <w:uiPriority w:val="99"/>
    <w:unhideWhenUsed/>
    <w:rsid w:val="00A03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1064">
      <w:bodyDiv w:val="1"/>
      <w:marLeft w:val="0"/>
      <w:marRight w:val="0"/>
      <w:marTop w:val="0"/>
      <w:marBottom w:val="0"/>
      <w:divBdr>
        <w:top w:val="none" w:sz="0" w:space="0" w:color="auto"/>
        <w:left w:val="none" w:sz="0" w:space="0" w:color="auto"/>
        <w:bottom w:val="none" w:sz="0" w:space="0" w:color="auto"/>
        <w:right w:val="none" w:sz="0" w:space="0" w:color="auto"/>
      </w:divBdr>
      <w:divsChild>
        <w:div w:id="1066100917">
          <w:marLeft w:val="0"/>
          <w:marRight w:val="0"/>
          <w:marTop w:val="0"/>
          <w:marBottom w:val="0"/>
          <w:divBdr>
            <w:top w:val="none" w:sz="0" w:space="0" w:color="auto"/>
            <w:left w:val="none" w:sz="0" w:space="0" w:color="auto"/>
            <w:bottom w:val="none" w:sz="0" w:space="0" w:color="auto"/>
            <w:right w:val="none" w:sz="0" w:space="0" w:color="auto"/>
          </w:divBdr>
          <w:divsChild>
            <w:div w:id="1796220238">
              <w:marLeft w:val="0"/>
              <w:marRight w:val="0"/>
              <w:marTop w:val="0"/>
              <w:marBottom w:val="0"/>
              <w:divBdr>
                <w:top w:val="none" w:sz="0" w:space="0" w:color="auto"/>
                <w:left w:val="none" w:sz="0" w:space="0" w:color="auto"/>
                <w:bottom w:val="none" w:sz="0" w:space="0" w:color="auto"/>
                <w:right w:val="none" w:sz="0" w:space="0" w:color="auto"/>
              </w:divBdr>
              <w:divsChild>
                <w:div w:id="1254700175">
                  <w:marLeft w:val="0"/>
                  <w:marRight w:val="0"/>
                  <w:marTop w:val="0"/>
                  <w:marBottom w:val="0"/>
                  <w:divBdr>
                    <w:top w:val="none" w:sz="0" w:space="0" w:color="auto"/>
                    <w:left w:val="none" w:sz="0" w:space="0" w:color="auto"/>
                    <w:bottom w:val="none" w:sz="0" w:space="0" w:color="auto"/>
                    <w:right w:val="none" w:sz="0" w:space="0" w:color="auto"/>
                  </w:divBdr>
                  <w:divsChild>
                    <w:div w:id="1136528450">
                      <w:marLeft w:val="0"/>
                      <w:marRight w:val="0"/>
                      <w:marTop w:val="0"/>
                      <w:marBottom w:val="0"/>
                      <w:divBdr>
                        <w:top w:val="none" w:sz="0" w:space="0" w:color="auto"/>
                        <w:left w:val="none" w:sz="0" w:space="0" w:color="auto"/>
                        <w:bottom w:val="none" w:sz="0" w:space="0" w:color="auto"/>
                        <w:right w:val="none" w:sz="0" w:space="0" w:color="auto"/>
                      </w:divBdr>
                      <w:divsChild>
                        <w:div w:id="1972977056">
                          <w:marLeft w:val="0"/>
                          <w:marRight w:val="150"/>
                          <w:marTop w:val="0"/>
                          <w:marBottom w:val="600"/>
                          <w:divBdr>
                            <w:top w:val="none" w:sz="0" w:space="0" w:color="auto"/>
                            <w:left w:val="none" w:sz="0" w:space="0" w:color="auto"/>
                            <w:bottom w:val="none" w:sz="0" w:space="0" w:color="auto"/>
                            <w:right w:val="none" w:sz="0" w:space="0" w:color="auto"/>
                          </w:divBdr>
                          <w:divsChild>
                            <w:div w:id="1851095058">
                              <w:marLeft w:val="0"/>
                              <w:marRight w:val="0"/>
                              <w:marTop w:val="0"/>
                              <w:marBottom w:val="225"/>
                              <w:divBdr>
                                <w:top w:val="single" w:sz="6" w:space="15" w:color="EAEAEA"/>
                                <w:left w:val="single" w:sz="6" w:space="15" w:color="EAEAEA"/>
                                <w:bottom w:val="single" w:sz="6" w:space="15" w:color="EAEAEA"/>
                                <w:right w:val="single" w:sz="6" w:space="15" w:color="EAEAEA"/>
                              </w:divBdr>
                              <w:divsChild>
                                <w:div w:id="179665074">
                                  <w:marLeft w:val="0"/>
                                  <w:marRight w:val="0"/>
                                  <w:marTop w:val="225"/>
                                  <w:marBottom w:val="0"/>
                                  <w:divBdr>
                                    <w:top w:val="none" w:sz="0" w:space="0" w:color="auto"/>
                                    <w:left w:val="none" w:sz="0" w:space="0" w:color="auto"/>
                                    <w:bottom w:val="single" w:sz="6" w:space="11" w:color="DADADA"/>
                                    <w:right w:val="none" w:sz="0" w:space="0" w:color="auto"/>
                                  </w:divBdr>
                                  <w:divsChild>
                                    <w:div w:id="259339141">
                                      <w:marLeft w:val="0"/>
                                      <w:marRight w:val="0"/>
                                      <w:marTop w:val="0"/>
                                      <w:marBottom w:val="0"/>
                                      <w:divBdr>
                                        <w:top w:val="none" w:sz="0" w:space="0" w:color="auto"/>
                                        <w:left w:val="none" w:sz="0" w:space="0" w:color="auto"/>
                                        <w:bottom w:val="none" w:sz="0" w:space="0" w:color="auto"/>
                                        <w:right w:val="none" w:sz="0" w:space="0" w:color="auto"/>
                                      </w:divBdr>
                                    </w:div>
                                    <w:div w:id="21460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294884">
      <w:bodyDiv w:val="1"/>
      <w:marLeft w:val="0"/>
      <w:marRight w:val="0"/>
      <w:marTop w:val="0"/>
      <w:marBottom w:val="0"/>
      <w:divBdr>
        <w:top w:val="none" w:sz="0" w:space="0" w:color="auto"/>
        <w:left w:val="none" w:sz="0" w:space="0" w:color="auto"/>
        <w:bottom w:val="none" w:sz="0" w:space="0" w:color="auto"/>
        <w:right w:val="none" w:sz="0" w:space="0" w:color="auto"/>
      </w:divBdr>
      <w:divsChild>
        <w:div w:id="1028222079">
          <w:marLeft w:val="0"/>
          <w:marRight w:val="0"/>
          <w:marTop w:val="0"/>
          <w:marBottom w:val="0"/>
          <w:divBdr>
            <w:top w:val="none" w:sz="0" w:space="0" w:color="auto"/>
            <w:left w:val="none" w:sz="0" w:space="0" w:color="auto"/>
            <w:bottom w:val="none" w:sz="0" w:space="0" w:color="auto"/>
            <w:right w:val="none" w:sz="0" w:space="0" w:color="auto"/>
          </w:divBdr>
          <w:divsChild>
            <w:div w:id="691145950">
              <w:marLeft w:val="0"/>
              <w:marRight w:val="0"/>
              <w:marTop w:val="0"/>
              <w:marBottom w:val="0"/>
              <w:divBdr>
                <w:top w:val="none" w:sz="0" w:space="0" w:color="auto"/>
                <w:left w:val="none" w:sz="0" w:space="0" w:color="auto"/>
                <w:bottom w:val="none" w:sz="0" w:space="0" w:color="auto"/>
                <w:right w:val="none" w:sz="0" w:space="0" w:color="auto"/>
              </w:divBdr>
              <w:divsChild>
                <w:div w:id="1915623757">
                  <w:marLeft w:val="0"/>
                  <w:marRight w:val="0"/>
                  <w:marTop w:val="0"/>
                  <w:marBottom w:val="0"/>
                  <w:divBdr>
                    <w:top w:val="none" w:sz="0" w:space="0" w:color="auto"/>
                    <w:left w:val="none" w:sz="0" w:space="0" w:color="auto"/>
                    <w:bottom w:val="none" w:sz="0" w:space="0" w:color="auto"/>
                    <w:right w:val="none" w:sz="0" w:space="0" w:color="auto"/>
                  </w:divBdr>
                  <w:divsChild>
                    <w:div w:id="554051443">
                      <w:marLeft w:val="0"/>
                      <w:marRight w:val="0"/>
                      <w:marTop w:val="0"/>
                      <w:marBottom w:val="0"/>
                      <w:divBdr>
                        <w:top w:val="none" w:sz="0" w:space="0" w:color="auto"/>
                        <w:left w:val="none" w:sz="0" w:space="0" w:color="auto"/>
                        <w:bottom w:val="none" w:sz="0" w:space="0" w:color="auto"/>
                        <w:right w:val="none" w:sz="0" w:space="0" w:color="auto"/>
                      </w:divBdr>
                      <w:divsChild>
                        <w:div w:id="1969046290">
                          <w:marLeft w:val="0"/>
                          <w:marRight w:val="150"/>
                          <w:marTop w:val="0"/>
                          <w:marBottom w:val="600"/>
                          <w:divBdr>
                            <w:top w:val="none" w:sz="0" w:space="0" w:color="auto"/>
                            <w:left w:val="none" w:sz="0" w:space="0" w:color="auto"/>
                            <w:bottom w:val="none" w:sz="0" w:space="0" w:color="auto"/>
                            <w:right w:val="none" w:sz="0" w:space="0" w:color="auto"/>
                          </w:divBdr>
                          <w:divsChild>
                            <w:div w:id="721830019">
                              <w:marLeft w:val="0"/>
                              <w:marRight w:val="0"/>
                              <w:marTop w:val="0"/>
                              <w:marBottom w:val="225"/>
                              <w:divBdr>
                                <w:top w:val="single" w:sz="6" w:space="15" w:color="EAEAEA"/>
                                <w:left w:val="single" w:sz="6" w:space="15" w:color="EAEAEA"/>
                                <w:bottom w:val="single" w:sz="6" w:space="15" w:color="EAEAEA"/>
                                <w:right w:val="single" w:sz="6" w:space="15" w:color="EAEAEA"/>
                              </w:divBdr>
                              <w:divsChild>
                                <w:div w:id="660427210">
                                  <w:marLeft w:val="0"/>
                                  <w:marRight w:val="0"/>
                                  <w:marTop w:val="0"/>
                                  <w:marBottom w:val="0"/>
                                  <w:divBdr>
                                    <w:top w:val="none" w:sz="0" w:space="0" w:color="auto"/>
                                    <w:left w:val="none" w:sz="0" w:space="0" w:color="auto"/>
                                    <w:bottom w:val="single" w:sz="6" w:space="11" w:color="DADADA"/>
                                    <w:right w:val="none" w:sz="0" w:space="0" w:color="auto"/>
                                  </w:divBdr>
                                </w:div>
                                <w:div w:id="1022438914">
                                  <w:marLeft w:val="0"/>
                                  <w:marRight w:val="0"/>
                                  <w:marTop w:val="225"/>
                                  <w:marBottom w:val="0"/>
                                  <w:divBdr>
                                    <w:top w:val="none" w:sz="0" w:space="0" w:color="auto"/>
                                    <w:left w:val="none" w:sz="0" w:space="0" w:color="auto"/>
                                    <w:bottom w:val="single" w:sz="6" w:space="11" w:color="DADADA"/>
                                    <w:right w:val="none" w:sz="0" w:space="0" w:color="auto"/>
                                  </w:divBdr>
                                  <w:divsChild>
                                    <w:div w:id="1849247570">
                                      <w:marLeft w:val="0"/>
                                      <w:marRight w:val="0"/>
                                      <w:marTop w:val="0"/>
                                      <w:marBottom w:val="0"/>
                                      <w:divBdr>
                                        <w:top w:val="none" w:sz="0" w:space="0" w:color="auto"/>
                                        <w:left w:val="none" w:sz="0" w:space="0" w:color="auto"/>
                                        <w:bottom w:val="none" w:sz="0" w:space="0" w:color="auto"/>
                                        <w:right w:val="none" w:sz="0" w:space="0" w:color="auto"/>
                                      </w:divBdr>
                                    </w:div>
                                    <w:div w:id="1119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wea.org/blog/author/kdyer/" TargetMode="External"/><Relationship Id="rId18" Type="http://schemas.openxmlformats.org/officeDocument/2006/relationships/hyperlink" Target="http://keepinglearningontrack.nwea.org/about.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wea.org/blog/2012/teacher-professional-development-one-big-idea-and-five-core-strategies/" TargetMode="External"/><Relationship Id="rId12" Type="http://schemas.openxmlformats.org/officeDocument/2006/relationships/hyperlink" Target="http://www.nwea.org/blog/2012/teacher-professional-development-one-big-idea-and-five-core-strategies/"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www.nwea.org/blog/2012/teacher-professional-development-one-big-idea-and-five-core-strateg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wea.org/blog/author/kdyer/" TargetMode="External"/><Relationship Id="rId11" Type="http://schemas.openxmlformats.org/officeDocument/2006/relationships/hyperlink" Target="http://www.nwea.org/blog/2012/self-regulation-of-learning-leads-to-student-performance-improvement/" TargetMode="External"/><Relationship Id="rId5" Type="http://schemas.openxmlformats.org/officeDocument/2006/relationships/webSettings" Target="webSettings.xml"/><Relationship Id="rId15" Type="http://schemas.openxmlformats.org/officeDocument/2006/relationships/hyperlink" Target="http://keepinglearningontrack.nwea.org/blog/2012/what-is-formative-assessment/" TargetMode="External"/><Relationship Id="rId10" Type="http://schemas.openxmlformats.org/officeDocument/2006/relationships/hyperlink" Target="http://www.nwea.org/blog/2012/the-importance-of-setting-classroom-and-student-expectations/" TargetMode="External"/><Relationship Id="rId19" Type="http://schemas.openxmlformats.org/officeDocument/2006/relationships/hyperlink" Target="http://www.nwea.org/blog/2013/dylan-wiliam-unpacking-formative-assessment/" TargetMode="External"/><Relationship Id="rId4" Type="http://schemas.openxmlformats.org/officeDocument/2006/relationships/settings" Target="settings.xml"/><Relationship Id="rId9" Type="http://schemas.openxmlformats.org/officeDocument/2006/relationships/hyperlink" Target="http://www.nwea.org/about.html" TargetMode="External"/><Relationship Id="rId14" Type="http://schemas.openxmlformats.org/officeDocument/2006/relationships/hyperlink" Target="http://www.nwea.org/blog/2013/dylan-wiliam-unpacking-formative-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dwaggon</dc:creator>
  <cp:lastModifiedBy>dwaggon</cp:lastModifiedBy>
  <cp:revision>1</cp:revision>
  <dcterms:created xsi:type="dcterms:W3CDTF">2014-11-16T22:48:00Z</dcterms:created>
  <dcterms:modified xsi:type="dcterms:W3CDTF">2014-11-16T22:55:00Z</dcterms:modified>
</cp:coreProperties>
</file>