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2" w:rsidRDefault="00CF2A82"/>
    <w:tbl>
      <w:tblPr>
        <w:tblStyle w:val="TableGrid"/>
        <w:tblW w:w="7218" w:type="dxa"/>
        <w:tblLook w:val="04A0"/>
      </w:tblPr>
      <w:tblGrid>
        <w:gridCol w:w="7218"/>
      </w:tblGrid>
      <w:tr w:rsidR="009C0446" w:rsidRPr="007D7D35" w:rsidTr="009C0446">
        <w:trPr>
          <w:trHeight w:val="1872"/>
        </w:trPr>
        <w:tc>
          <w:tcPr>
            <w:tcW w:w="7218" w:type="dxa"/>
          </w:tcPr>
          <w:p w:rsidR="009C0446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</w:p>
          <w:p w:rsidR="009C0446" w:rsidRPr="005362A7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  <w:r w:rsidRPr="005362A7">
              <w:rPr>
                <w:b/>
                <w:color w:val="002060"/>
                <w:sz w:val="52"/>
                <w:szCs w:val="52"/>
              </w:rPr>
              <w:t>Planning &amp; Preparation</w:t>
            </w:r>
          </w:p>
        </w:tc>
      </w:tr>
      <w:tr w:rsidR="009C0446" w:rsidRPr="007D7D35" w:rsidTr="009C0446">
        <w:trPr>
          <w:trHeight w:val="1872"/>
        </w:trPr>
        <w:tc>
          <w:tcPr>
            <w:tcW w:w="7218" w:type="dxa"/>
          </w:tcPr>
          <w:p w:rsidR="009C0446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</w:p>
          <w:p w:rsidR="009C0446" w:rsidRPr="005362A7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  <w:r w:rsidRPr="005362A7">
              <w:rPr>
                <w:b/>
                <w:color w:val="002060"/>
                <w:sz w:val="52"/>
                <w:szCs w:val="52"/>
              </w:rPr>
              <w:t>Classroom Environment</w:t>
            </w:r>
          </w:p>
        </w:tc>
      </w:tr>
      <w:tr w:rsidR="009C0446" w:rsidRPr="007D7D35" w:rsidTr="009C0446">
        <w:trPr>
          <w:trHeight w:val="1872"/>
        </w:trPr>
        <w:tc>
          <w:tcPr>
            <w:tcW w:w="7218" w:type="dxa"/>
          </w:tcPr>
          <w:p w:rsidR="009C0446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</w:p>
          <w:p w:rsidR="009C0446" w:rsidRPr="005362A7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  <w:r w:rsidRPr="005362A7">
              <w:rPr>
                <w:b/>
                <w:color w:val="002060"/>
                <w:sz w:val="52"/>
                <w:szCs w:val="52"/>
              </w:rPr>
              <w:t>Instruction</w:t>
            </w:r>
          </w:p>
        </w:tc>
      </w:tr>
      <w:tr w:rsidR="009C0446" w:rsidRPr="007D7D35" w:rsidTr="009C0446">
        <w:trPr>
          <w:trHeight w:val="1872"/>
        </w:trPr>
        <w:tc>
          <w:tcPr>
            <w:tcW w:w="7218" w:type="dxa"/>
          </w:tcPr>
          <w:p w:rsidR="009C0446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</w:p>
          <w:p w:rsidR="009C0446" w:rsidRPr="005362A7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  <w:r w:rsidRPr="005362A7">
              <w:rPr>
                <w:b/>
                <w:color w:val="002060"/>
                <w:sz w:val="52"/>
                <w:szCs w:val="52"/>
              </w:rPr>
              <w:t>Professional Responsibilities</w:t>
            </w:r>
          </w:p>
        </w:tc>
      </w:tr>
      <w:tr w:rsidR="009C0446" w:rsidRPr="007D7D35" w:rsidTr="009C0446">
        <w:trPr>
          <w:trHeight w:val="1872"/>
        </w:trPr>
        <w:tc>
          <w:tcPr>
            <w:tcW w:w="7218" w:type="dxa"/>
          </w:tcPr>
          <w:p w:rsidR="009C0446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</w:p>
          <w:p w:rsidR="009C0446" w:rsidRPr="005362A7" w:rsidRDefault="009C0446" w:rsidP="007F3D98">
            <w:pPr>
              <w:jc w:val="center"/>
              <w:rPr>
                <w:b/>
                <w:color w:val="002060"/>
                <w:sz w:val="52"/>
                <w:szCs w:val="52"/>
              </w:rPr>
            </w:pPr>
            <w:r w:rsidRPr="005362A7">
              <w:rPr>
                <w:b/>
                <w:color w:val="002060"/>
                <w:sz w:val="52"/>
                <w:szCs w:val="52"/>
              </w:rPr>
              <w:t>Student Growth</w:t>
            </w:r>
          </w:p>
        </w:tc>
      </w:tr>
    </w:tbl>
    <w:p w:rsidR="002C71E5" w:rsidRDefault="002C71E5" w:rsidP="007C1D28">
      <w:pPr>
        <w:jc w:val="center"/>
        <w:rPr>
          <w:b/>
          <w:color w:val="2F5496" w:themeColor="accent5" w:themeShade="BF"/>
          <w:sz w:val="36"/>
          <w:szCs w:val="36"/>
        </w:rPr>
        <w:sectPr w:rsidR="002C71E5" w:rsidSect="002C71E5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7218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4A0"/>
      </w:tblPr>
      <w:tblGrid>
        <w:gridCol w:w="6948"/>
        <w:gridCol w:w="90"/>
        <w:gridCol w:w="180"/>
      </w:tblGrid>
      <w:tr w:rsidR="00AB70D9" w:rsidRPr="0057662B" w:rsidTr="002C71E5">
        <w:trPr>
          <w:trHeight w:val="1584"/>
        </w:trPr>
        <w:tc>
          <w:tcPr>
            <w:tcW w:w="7218" w:type="dxa"/>
            <w:gridSpan w:val="3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lastRenderedPageBreak/>
              <w:t>Knowledge of content/pedagogy</w:t>
            </w:r>
          </w:p>
        </w:tc>
      </w:tr>
      <w:tr w:rsidR="00AB70D9" w:rsidRPr="0057662B" w:rsidTr="002C71E5">
        <w:trPr>
          <w:trHeight w:val="1584"/>
        </w:trPr>
        <w:tc>
          <w:tcPr>
            <w:tcW w:w="7218" w:type="dxa"/>
            <w:gridSpan w:val="3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Demonstrate knowledge of students</w:t>
            </w:r>
          </w:p>
        </w:tc>
      </w:tr>
      <w:tr w:rsidR="00AB70D9" w:rsidRPr="0057662B" w:rsidTr="002C71E5">
        <w:trPr>
          <w:trHeight w:val="1584"/>
        </w:trPr>
        <w:tc>
          <w:tcPr>
            <w:tcW w:w="7218" w:type="dxa"/>
            <w:gridSpan w:val="3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Setting instructional outcomes</w:t>
            </w:r>
          </w:p>
        </w:tc>
      </w:tr>
      <w:tr w:rsidR="00AB70D9" w:rsidRPr="0057662B" w:rsidTr="002C71E5">
        <w:trPr>
          <w:trHeight w:val="1584"/>
        </w:trPr>
        <w:tc>
          <w:tcPr>
            <w:tcW w:w="7218" w:type="dxa"/>
            <w:gridSpan w:val="3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Demonstrate knowledge of resources</w:t>
            </w:r>
          </w:p>
        </w:tc>
      </w:tr>
      <w:tr w:rsidR="00AB70D9" w:rsidRPr="0057662B" w:rsidTr="002C71E5">
        <w:trPr>
          <w:trHeight w:val="1584"/>
        </w:trPr>
        <w:tc>
          <w:tcPr>
            <w:tcW w:w="7218" w:type="dxa"/>
            <w:gridSpan w:val="3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Designing coherent instruction</w:t>
            </w:r>
          </w:p>
        </w:tc>
      </w:tr>
      <w:tr w:rsidR="009C0446" w:rsidRPr="0057662B" w:rsidTr="002C71E5">
        <w:trPr>
          <w:trHeight w:val="1584"/>
        </w:trPr>
        <w:tc>
          <w:tcPr>
            <w:tcW w:w="7218" w:type="dxa"/>
            <w:gridSpan w:val="3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9C0446" w:rsidRPr="005362A7" w:rsidRDefault="009C0446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Growing &amp; developing professionally</w:t>
            </w:r>
          </w:p>
        </w:tc>
      </w:tr>
      <w:tr w:rsidR="00AB70D9" w:rsidRPr="0057662B" w:rsidTr="002C71E5">
        <w:trPr>
          <w:gridAfter w:val="2"/>
          <w:wAfter w:w="270" w:type="dxa"/>
          <w:trHeight w:val="1584"/>
        </w:trPr>
        <w:tc>
          <w:tcPr>
            <w:tcW w:w="6948" w:type="dxa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lastRenderedPageBreak/>
              <w:t>Designing student assessment</w:t>
            </w:r>
          </w:p>
        </w:tc>
      </w:tr>
      <w:tr w:rsidR="00AB70D9" w:rsidRPr="0057662B" w:rsidTr="002C71E5">
        <w:trPr>
          <w:gridAfter w:val="2"/>
          <w:wAfter w:w="270" w:type="dxa"/>
          <w:trHeight w:val="1584"/>
        </w:trPr>
        <w:tc>
          <w:tcPr>
            <w:tcW w:w="6948" w:type="dxa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AB70D9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 xml:space="preserve">Creating </w:t>
            </w:r>
            <w:proofErr w:type="spellStart"/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env</w:t>
            </w:r>
            <w:proofErr w:type="spellEnd"/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. of respect &amp; rapport</w:t>
            </w:r>
          </w:p>
        </w:tc>
      </w:tr>
      <w:tr w:rsidR="00AB70D9" w:rsidRPr="0057662B" w:rsidTr="002C71E5">
        <w:trPr>
          <w:gridAfter w:val="2"/>
          <w:wAfter w:w="270" w:type="dxa"/>
          <w:trHeight w:val="1584"/>
        </w:trPr>
        <w:tc>
          <w:tcPr>
            <w:tcW w:w="6948" w:type="dxa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AB70D9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Establish culture of learning</w:t>
            </w:r>
          </w:p>
        </w:tc>
      </w:tr>
      <w:tr w:rsidR="00AB70D9" w:rsidRPr="0057662B" w:rsidTr="002C71E5">
        <w:trPr>
          <w:gridAfter w:val="2"/>
          <w:wAfter w:w="270" w:type="dxa"/>
          <w:trHeight w:val="1584"/>
        </w:trPr>
        <w:tc>
          <w:tcPr>
            <w:tcW w:w="6948" w:type="dxa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AB70D9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Maintaining classroom procedures</w:t>
            </w:r>
          </w:p>
        </w:tc>
      </w:tr>
      <w:tr w:rsidR="00AB70D9" w:rsidRPr="0057662B" w:rsidTr="002C71E5">
        <w:trPr>
          <w:gridAfter w:val="2"/>
          <w:wAfter w:w="270" w:type="dxa"/>
          <w:trHeight w:val="1584"/>
        </w:trPr>
        <w:tc>
          <w:tcPr>
            <w:tcW w:w="6948" w:type="dxa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Managing student behavior</w:t>
            </w:r>
          </w:p>
        </w:tc>
      </w:tr>
      <w:tr w:rsidR="009C0446" w:rsidRPr="0057662B" w:rsidTr="002C71E5">
        <w:trPr>
          <w:gridAfter w:val="2"/>
          <w:wAfter w:w="270" w:type="dxa"/>
          <w:trHeight w:val="1584"/>
        </w:trPr>
        <w:tc>
          <w:tcPr>
            <w:tcW w:w="6948" w:type="dxa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9C0446" w:rsidRPr="005362A7" w:rsidRDefault="009C0446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Showing professionalism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lastRenderedPageBreak/>
              <w:t>Organizing physical space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Communicating with students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Questioning &amp; discussion techniques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Engaging students in learning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AB70D9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Using assessment in learning</w:t>
            </w:r>
          </w:p>
        </w:tc>
      </w:tr>
      <w:tr w:rsidR="002C71E5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2C71E5" w:rsidRPr="005362A7" w:rsidRDefault="002C71E5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Student growth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711333" w:rsidP="00711333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lastRenderedPageBreak/>
              <w:t>Demonstrating flexibility &amp;r</w:t>
            </w:r>
            <w:r w:rsidR="00AB70D9" w:rsidRPr="005362A7">
              <w:rPr>
                <w:b/>
                <w:color w:val="2F5496" w:themeColor="accent5" w:themeShade="BF"/>
                <w:sz w:val="36"/>
                <w:szCs w:val="36"/>
              </w:rPr>
              <w:t>esponsive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711333" w:rsidRPr="005362A7" w:rsidRDefault="00711333" w:rsidP="00711333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Reflecting on teaching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711333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Maintaining accurate records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711333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Communicating with families</w:t>
            </w:r>
          </w:p>
        </w:tc>
      </w:tr>
      <w:tr w:rsidR="00AB70D9" w:rsidRPr="0057662B" w:rsidTr="002C71E5">
        <w:trPr>
          <w:gridAfter w:val="1"/>
          <w:wAfter w:w="180" w:type="dxa"/>
          <w:trHeight w:val="1584"/>
        </w:trPr>
        <w:tc>
          <w:tcPr>
            <w:tcW w:w="7038" w:type="dxa"/>
            <w:gridSpan w:val="2"/>
            <w:tcBorders>
              <w:top w:val="double" w:sz="24" w:space="0" w:color="4472C4" w:themeColor="accent5"/>
              <w:left w:val="double" w:sz="24" w:space="0" w:color="4472C4" w:themeColor="accent5"/>
              <w:bottom w:val="double" w:sz="24" w:space="0" w:color="4472C4" w:themeColor="accent5"/>
              <w:right w:val="double" w:sz="24" w:space="0" w:color="4472C4" w:themeColor="accent5"/>
            </w:tcBorders>
            <w:vAlign w:val="center"/>
          </w:tcPr>
          <w:p w:rsidR="00AB70D9" w:rsidRPr="005362A7" w:rsidRDefault="00711333" w:rsidP="007C1D28">
            <w:pPr>
              <w:jc w:val="center"/>
              <w:rPr>
                <w:b/>
                <w:color w:val="2F5496" w:themeColor="accent5" w:themeShade="BF"/>
                <w:sz w:val="36"/>
                <w:szCs w:val="36"/>
              </w:rPr>
            </w:pPr>
            <w:r w:rsidRPr="005362A7">
              <w:rPr>
                <w:b/>
                <w:color w:val="2F5496" w:themeColor="accent5" w:themeShade="BF"/>
                <w:sz w:val="36"/>
                <w:szCs w:val="36"/>
              </w:rPr>
              <w:t>Participating in prof. learning comm.</w:t>
            </w:r>
          </w:p>
        </w:tc>
      </w:tr>
    </w:tbl>
    <w:p w:rsidR="00711333" w:rsidRPr="0057662B" w:rsidRDefault="00711333" w:rsidP="009C0446">
      <w:pPr>
        <w:rPr>
          <w:color w:val="2F5496" w:themeColor="accent5" w:themeShade="BF"/>
          <w:sz w:val="72"/>
          <w:szCs w:val="72"/>
        </w:rPr>
      </w:pPr>
    </w:p>
    <w:sectPr w:rsidR="00711333" w:rsidRPr="0057662B" w:rsidSect="002C71E5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4F3BAB"/>
    <w:rsid w:val="000226D2"/>
    <w:rsid w:val="00032BC2"/>
    <w:rsid w:val="00080200"/>
    <w:rsid w:val="000E59B7"/>
    <w:rsid w:val="000E7079"/>
    <w:rsid w:val="00116702"/>
    <w:rsid w:val="0012677A"/>
    <w:rsid w:val="00126996"/>
    <w:rsid w:val="001717A6"/>
    <w:rsid w:val="0020760B"/>
    <w:rsid w:val="002358AE"/>
    <w:rsid w:val="002412B3"/>
    <w:rsid w:val="0026055C"/>
    <w:rsid w:val="00263E64"/>
    <w:rsid w:val="002A2813"/>
    <w:rsid w:val="002C0D2E"/>
    <w:rsid w:val="002C71E5"/>
    <w:rsid w:val="002F3B28"/>
    <w:rsid w:val="00324E16"/>
    <w:rsid w:val="00333C4B"/>
    <w:rsid w:val="003674F8"/>
    <w:rsid w:val="00370B92"/>
    <w:rsid w:val="003F2991"/>
    <w:rsid w:val="004075B0"/>
    <w:rsid w:val="00424D6E"/>
    <w:rsid w:val="0046004A"/>
    <w:rsid w:val="00462DF9"/>
    <w:rsid w:val="0046490D"/>
    <w:rsid w:val="004713DE"/>
    <w:rsid w:val="00482636"/>
    <w:rsid w:val="004832A2"/>
    <w:rsid w:val="004A491D"/>
    <w:rsid w:val="004A5B52"/>
    <w:rsid w:val="004D111C"/>
    <w:rsid w:val="004E3BA2"/>
    <w:rsid w:val="004E5A3B"/>
    <w:rsid w:val="004E6AB9"/>
    <w:rsid w:val="004F3BAB"/>
    <w:rsid w:val="00512D72"/>
    <w:rsid w:val="005362A7"/>
    <w:rsid w:val="00563038"/>
    <w:rsid w:val="0057662B"/>
    <w:rsid w:val="0058792F"/>
    <w:rsid w:val="005C5E2B"/>
    <w:rsid w:val="0062439D"/>
    <w:rsid w:val="006542A7"/>
    <w:rsid w:val="00681FB1"/>
    <w:rsid w:val="0068246E"/>
    <w:rsid w:val="00686875"/>
    <w:rsid w:val="006912D3"/>
    <w:rsid w:val="006F30BF"/>
    <w:rsid w:val="00707697"/>
    <w:rsid w:val="00711333"/>
    <w:rsid w:val="00751251"/>
    <w:rsid w:val="007707D6"/>
    <w:rsid w:val="00781CDD"/>
    <w:rsid w:val="00790D86"/>
    <w:rsid w:val="007D7D35"/>
    <w:rsid w:val="007E0BA0"/>
    <w:rsid w:val="00805AB4"/>
    <w:rsid w:val="00834F8F"/>
    <w:rsid w:val="0084164B"/>
    <w:rsid w:val="00846397"/>
    <w:rsid w:val="00860FA1"/>
    <w:rsid w:val="00875E81"/>
    <w:rsid w:val="00890D40"/>
    <w:rsid w:val="008D0DF2"/>
    <w:rsid w:val="008D6647"/>
    <w:rsid w:val="00932624"/>
    <w:rsid w:val="00980F2C"/>
    <w:rsid w:val="009922BB"/>
    <w:rsid w:val="009C0446"/>
    <w:rsid w:val="009C1FB3"/>
    <w:rsid w:val="009F2248"/>
    <w:rsid w:val="00A10362"/>
    <w:rsid w:val="00A45118"/>
    <w:rsid w:val="00A54EAD"/>
    <w:rsid w:val="00AA732B"/>
    <w:rsid w:val="00AB70D9"/>
    <w:rsid w:val="00AC3EFC"/>
    <w:rsid w:val="00B161E2"/>
    <w:rsid w:val="00B42D58"/>
    <w:rsid w:val="00B63D68"/>
    <w:rsid w:val="00BE2A0D"/>
    <w:rsid w:val="00BF6904"/>
    <w:rsid w:val="00C44CD2"/>
    <w:rsid w:val="00C57491"/>
    <w:rsid w:val="00CB65A3"/>
    <w:rsid w:val="00CC0F0B"/>
    <w:rsid w:val="00CD0E65"/>
    <w:rsid w:val="00CD7E2D"/>
    <w:rsid w:val="00CE6AEF"/>
    <w:rsid w:val="00CF2A82"/>
    <w:rsid w:val="00CF6D4E"/>
    <w:rsid w:val="00DA7995"/>
    <w:rsid w:val="00DB303E"/>
    <w:rsid w:val="00E0283D"/>
    <w:rsid w:val="00E14505"/>
    <w:rsid w:val="00E15065"/>
    <w:rsid w:val="00E670EB"/>
    <w:rsid w:val="00EA662F"/>
    <w:rsid w:val="00F4365C"/>
    <w:rsid w:val="00F46E70"/>
    <w:rsid w:val="00FB0F1D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Kentucky</dc:creator>
  <cp:lastModifiedBy>The Waggoners</cp:lastModifiedBy>
  <cp:revision>4</cp:revision>
  <cp:lastPrinted>2013-09-19T05:11:00Z</cp:lastPrinted>
  <dcterms:created xsi:type="dcterms:W3CDTF">2013-09-18T13:07:00Z</dcterms:created>
  <dcterms:modified xsi:type="dcterms:W3CDTF">2013-09-19T06:16:00Z</dcterms:modified>
</cp:coreProperties>
</file>