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AD" w:rsidRDefault="003D2CAD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C42ED0">
        <w:rPr>
          <w:rFonts w:ascii="Arial-ItalicMT" w:hAnsi="Arial-ItalicMT" w:cs="Arial-ItalicMT"/>
          <w:b/>
          <w:i/>
          <w:iCs/>
          <w:sz w:val="28"/>
          <w:szCs w:val="28"/>
        </w:rPr>
        <w:t>Scenario 1: Assessing Student Mastery of Content Knowledge</w:t>
      </w:r>
    </w:p>
    <w:p w:rsidR="00C42ED0" w:rsidRPr="00C42ED0" w:rsidRDefault="00C42ED0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</w:p>
    <w:p w:rsidR="003D2CAD" w:rsidRPr="00C42ED0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C42ED0">
        <w:rPr>
          <w:rFonts w:ascii="Century-LightItalic" w:hAnsi="Century-LightItalic" w:cs="Century-LightItalic"/>
          <w:b/>
          <w:i/>
          <w:iCs/>
          <w:sz w:val="28"/>
          <w:szCs w:val="28"/>
        </w:rPr>
        <w:t>Scenario:</w:t>
      </w:r>
      <w:r w:rsidRPr="00C42ED0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You want your students to master specific subject matter knowledge because it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represents an important foundation for later work. You plan a series of instructional activities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to help your students reach this goal. Now you want to assess to be sure they’ve got it.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In this particular case, you want them to know the material outright, not through the use of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reference materials.</w:t>
      </w:r>
    </w:p>
    <w:p w:rsidR="00385235" w:rsidRPr="00C42ED0" w:rsidRDefault="0038523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C42ED0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C42ED0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1:</w:t>
      </w:r>
      <w:r w:rsidRPr="00C42ED0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Should you assess mastery of this material using selected response or short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answer modes of assessment, such as multiple-choice, true/false, or matching exercises?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Briefly explain your response.</w:t>
      </w:r>
    </w:p>
    <w:p w:rsidR="00F94035" w:rsidRPr="00C42ED0" w:rsidRDefault="00F9403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C42ED0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C42ED0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2:</w:t>
      </w:r>
      <w:r w:rsidRPr="00C42ED0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Should you assess your students’ mastery of this material using an extended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written response form of assessment? Defend your answer.</w:t>
      </w:r>
    </w:p>
    <w:p w:rsidR="00F94035" w:rsidRPr="00C42ED0" w:rsidRDefault="00F9403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C42ED0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C42ED0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3:</w:t>
      </w:r>
      <w:r w:rsidRPr="00C42ED0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Should you use a performance assessment to assess students’ mastery of this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content knowledge? Defend your answer.</w:t>
      </w:r>
    </w:p>
    <w:p w:rsidR="00F94035" w:rsidRPr="00C42ED0" w:rsidRDefault="00F9403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C42ED0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C42ED0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4:</w:t>
      </w:r>
      <w:r w:rsidRPr="00C42ED0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Do you think the personal oral communication form of assessment—by oral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exam, interview, conference, or discussion—could viably assess your students’ mastery of</w:t>
      </w:r>
      <w:r w:rsidR="00C42ED0">
        <w:rPr>
          <w:rFonts w:ascii="Century-Light" w:hAnsi="Century-Light" w:cs="Century-Light"/>
          <w:sz w:val="28"/>
          <w:szCs w:val="28"/>
        </w:rPr>
        <w:t xml:space="preserve"> </w:t>
      </w:r>
      <w:r w:rsidRPr="00C42ED0">
        <w:rPr>
          <w:rFonts w:ascii="Century-Light" w:hAnsi="Century-Light" w:cs="Century-Light"/>
          <w:sz w:val="28"/>
          <w:szCs w:val="28"/>
        </w:rPr>
        <w:t>this content knowledge? Why or why not?</w:t>
      </w:r>
    </w:p>
    <w:p w:rsidR="003D2CAD" w:rsidRPr="00C42ED0" w:rsidRDefault="003D2CAD" w:rsidP="003D2CA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8"/>
          <w:szCs w:val="28"/>
        </w:rPr>
      </w:pPr>
    </w:p>
    <w:p w:rsidR="00F94035" w:rsidRDefault="00F94035" w:rsidP="003D2CA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5"/>
          <w:szCs w:val="25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73360B">
        <w:rPr>
          <w:rFonts w:ascii="Arial-ItalicMT" w:hAnsi="Arial-ItalicMT" w:cs="Arial-ItalicMT"/>
          <w:b/>
          <w:i/>
          <w:iCs/>
          <w:sz w:val="28"/>
          <w:szCs w:val="28"/>
        </w:rPr>
        <w:t>Scenario 2: Assessing Reasoning Proficiency</w:t>
      </w:r>
    </w:p>
    <w:p w:rsidR="0073360B" w:rsidRPr="0073360B" w:rsidRDefault="0073360B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</w:p>
    <w:p w:rsidR="003D2CAD" w:rsidRPr="0073360B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73360B">
        <w:rPr>
          <w:rFonts w:ascii="Century-LightItalic" w:hAnsi="Century-LightItalic" w:cs="Century-LightItalic"/>
          <w:b/>
          <w:i/>
          <w:iCs/>
          <w:sz w:val="28"/>
          <w:szCs w:val="28"/>
        </w:rPr>
        <w:t>Scenario: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You are a teacher who has seen to it that your students are able to access</w:t>
      </w: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proofErr w:type="gramStart"/>
      <w:r w:rsidRPr="0073360B">
        <w:rPr>
          <w:rFonts w:ascii="Century-Light" w:hAnsi="Century-Light" w:cs="Century-Light"/>
          <w:sz w:val="28"/>
          <w:szCs w:val="28"/>
        </w:rPr>
        <w:t>important</w:t>
      </w:r>
      <w:proofErr w:type="gramEnd"/>
      <w:r w:rsidRPr="0073360B">
        <w:rPr>
          <w:rFonts w:ascii="Century-Light" w:hAnsi="Century-Light" w:cs="Century-Light"/>
          <w:sz w:val="28"/>
          <w:szCs w:val="28"/>
        </w:rPr>
        <w:t xml:space="preserve"> knowledge when required. Now you want to see if they can use that </w:t>
      </w:r>
      <w:r w:rsidR="0073360B">
        <w:rPr>
          <w:rFonts w:ascii="Century-Light" w:hAnsi="Century-Light" w:cs="Century-Light"/>
          <w:sz w:val="28"/>
          <w:szCs w:val="28"/>
        </w:rPr>
        <w:t>k</w:t>
      </w:r>
      <w:r w:rsidRPr="0073360B">
        <w:rPr>
          <w:rFonts w:ascii="Century-Light" w:hAnsi="Century-Light" w:cs="Century-Light"/>
          <w:sz w:val="28"/>
          <w:szCs w:val="28"/>
        </w:rPr>
        <w:t>nowledge</w:t>
      </w:r>
      <w:r w:rsidR="0073360B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productively to solve relevant problems. You want to see if they can reason analytically</w:t>
      </w:r>
      <w:r w:rsidR="0073360B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(think about the parts of things) and comparatively (think in terms of similarities and differences),</w:t>
      </w:r>
      <w:r w:rsidR="0073360B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draw inferences, and think critically (take and defend a position on an issue, for</w:t>
      </w:r>
      <w:r w:rsidR="0073360B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example).</w:t>
      </w:r>
    </w:p>
    <w:p w:rsidR="00EC281E" w:rsidRPr="0073360B" w:rsidRDefault="00EC281E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EC281E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1: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get at these things with selected response or short answer assessments?</w:t>
      </w:r>
      <w:r w:rsidR="00EC281E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Why or why not?</w:t>
      </w:r>
    </w:p>
    <w:p w:rsidR="00EC281E" w:rsidRPr="0073360B" w:rsidRDefault="00EC281E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EC281E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2: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Does extended written response assessment work in contexts where you seek</w:t>
      </w:r>
      <w:r w:rsidR="00EC281E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to assess reasoning proficiency? Why or why not?</w:t>
      </w:r>
    </w:p>
    <w:p w:rsidR="00EC281E" w:rsidRPr="0073360B" w:rsidRDefault="00EC281E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EC281E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3: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Is performance assessment a viable alternative? Why or why not?</w:t>
      </w:r>
    </w:p>
    <w:p w:rsidR="00EC281E" w:rsidRPr="0073360B" w:rsidRDefault="00EC281E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73360B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EC281E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4: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use personal oral communication as an assessment method to probe</w:t>
      </w:r>
      <w:r w:rsidR="00EC281E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a student’s ability to use knowledge to reason effectively and solve problems? Defend your</w:t>
      </w:r>
      <w:r w:rsidR="00EC281E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response.</w:t>
      </w:r>
    </w:p>
    <w:p w:rsidR="00EC281E" w:rsidRDefault="00EC281E" w:rsidP="003D2CA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B12543">
        <w:rPr>
          <w:rFonts w:ascii="Arial-ItalicMT" w:hAnsi="Arial-ItalicMT" w:cs="Arial-ItalicMT"/>
          <w:b/>
          <w:i/>
          <w:iCs/>
          <w:sz w:val="28"/>
          <w:szCs w:val="28"/>
        </w:rPr>
        <w:lastRenderedPageBreak/>
        <w:t>Scenario 3: Assessing Mastery of Skills</w:t>
      </w:r>
    </w:p>
    <w:p w:rsidR="00B12543" w:rsidRPr="00B12543" w:rsidRDefault="00B12543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B12543">
        <w:rPr>
          <w:rFonts w:ascii="Century-LightItalic" w:hAnsi="Century-LightItalic" w:cs="Century-LightItalic"/>
          <w:b/>
          <w:i/>
          <w:iCs/>
          <w:sz w:val="28"/>
          <w:szCs w:val="28"/>
        </w:rPr>
        <w:t>Scenario: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You teach French and wish to assess your students’ skill at communicating in</w:t>
      </w:r>
      <w:r w:rsidR="00B12543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that language in a conversational situation. So the skill of oral language proficiency is your</w:t>
      </w:r>
      <w:r w:rsidR="00B12543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target.</w:t>
      </w:r>
    </w:p>
    <w:p w:rsidR="00B12543" w:rsidRPr="0073360B" w:rsidRDefault="00B12543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B12543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1: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assess oral language proficiency in a conversational context using a</w:t>
      </w:r>
      <w:r w:rsidR="00B12543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selected response or short answer mode of assessment? Defend your answer.</w:t>
      </w:r>
    </w:p>
    <w:p w:rsidR="00B12543" w:rsidRPr="0073360B" w:rsidRDefault="00B12543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B12543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2: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assess these skills using extended written response assessment? Why</w:t>
      </w:r>
      <w:r w:rsidR="00B12543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or why not?</w:t>
      </w:r>
    </w:p>
    <w:p w:rsidR="00A35ED9" w:rsidRPr="0073360B" w:rsidRDefault="00A35ED9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Pr="0073360B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A35ED9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3: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Will performance assessment work as a basis for assessing the foreign</w:t>
      </w: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proofErr w:type="gramStart"/>
      <w:r w:rsidRPr="0073360B">
        <w:rPr>
          <w:rFonts w:ascii="Century-Light" w:hAnsi="Century-Light" w:cs="Century-Light"/>
          <w:sz w:val="28"/>
          <w:szCs w:val="28"/>
        </w:rPr>
        <w:t>language</w:t>
      </w:r>
      <w:proofErr w:type="gramEnd"/>
      <w:r w:rsidRPr="0073360B">
        <w:rPr>
          <w:rFonts w:ascii="Century-Light" w:hAnsi="Century-Light" w:cs="Century-Light"/>
          <w:sz w:val="28"/>
          <w:szCs w:val="28"/>
        </w:rPr>
        <w:t xml:space="preserve"> speaking proficiency of your students? Why or why not?</w:t>
      </w:r>
    </w:p>
    <w:p w:rsidR="00A35ED9" w:rsidRPr="0073360B" w:rsidRDefault="00A35ED9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A35ED9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4: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use personal oral communication as a basis for assessing conversational</w:t>
      </w:r>
      <w:r w:rsidR="00A35ED9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skill in a second language? Defend your response.</w:t>
      </w:r>
    </w:p>
    <w:p w:rsidR="00A35ED9" w:rsidRPr="0073360B" w:rsidRDefault="00A35ED9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A35ED9" w:rsidRDefault="00A35ED9" w:rsidP="003D2CA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8"/>
          <w:szCs w:val="28"/>
        </w:rPr>
      </w:pPr>
    </w:p>
    <w:p w:rsidR="00A35ED9" w:rsidRDefault="00A35ED9" w:rsidP="003D2CA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A35ED9">
        <w:rPr>
          <w:rFonts w:ascii="Arial-ItalicMT" w:hAnsi="Arial-ItalicMT" w:cs="Arial-ItalicMT"/>
          <w:b/>
          <w:i/>
          <w:iCs/>
          <w:sz w:val="28"/>
          <w:szCs w:val="28"/>
        </w:rPr>
        <w:t>Scenario 4: Assessing the Ability to Create Quality Products</w:t>
      </w:r>
    </w:p>
    <w:p w:rsidR="00A35ED9" w:rsidRPr="00A35ED9" w:rsidRDefault="00A35ED9" w:rsidP="003D2CAD">
      <w:pPr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sz w:val="28"/>
          <w:szCs w:val="28"/>
        </w:rPr>
      </w:pPr>
    </w:p>
    <w:p w:rsidR="003D2CAD" w:rsidRPr="0073360B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A35ED9">
        <w:rPr>
          <w:rFonts w:ascii="Century-LightItalic" w:hAnsi="Century-LightItalic" w:cs="Century-LightItalic"/>
          <w:b/>
          <w:i/>
          <w:iCs/>
          <w:sz w:val="28"/>
          <w:szCs w:val="28"/>
        </w:rPr>
        <w:t>Scenario: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You want your students to be able to create quality products—products that</w:t>
      </w: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proofErr w:type="gramStart"/>
      <w:r w:rsidRPr="0073360B">
        <w:rPr>
          <w:rFonts w:ascii="Century-Light" w:hAnsi="Century-Light" w:cs="Century-Light"/>
          <w:sz w:val="28"/>
          <w:szCs w:val="28"/>
        </w:rPr>
        <w:t>meet</w:t>
      </w:r>
      <w:proofErr w:type="gramEnd"/>
      <w:r w:rsidRPr="0073360B">
        <w:rPr>
          <w:rFonts w:ascii="Century-Light" w:hAnsi="Century-Light" w:cs="Century-Light"/>
          <w:sz w:val="28"/>
          <w:szCs w:val="28"/>
        </w:rPr>
        <w:t xml:space="preserve"> certain specified standards. They might be samples of writing, term papers, technology</w:t>
      </w:r>
      <w:r w:rsidR="00A35ED9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products, craft products, artistic creations, or others. Your instruction has centered on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helping students learn the differences between products of high and low quality. You have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provided practice in developing products that meet your standards. Now it is time to assess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their achievement to see if your instruction was effective.</w:t>
      </w:r>
    </w:p>
    <w:p w:rsidR="00F53A45" w:rsidRPr="0073360B" w:rsidRDefault="00F53A4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F53A45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1: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you assess the ability to create these kinds of products using selected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response or short answer modes of assessment? Why or why not?</w:t>
      </w:r>
    </w:p>
    <w:p w:rsidR="00F53A45" w:rsidRPr="0073360B" w:rsidRDefault="00F53A4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F53A45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2: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Will extended written response assessment work for evaluating this kind of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achievement? Explain your answer.</w:t>
      </w:r>
    </w:p>
    <w:p w:rsidR="00F53A45" w:rsidRPr="0073360B" w:rsidRDefault="00F53A4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3D2CAD" w:rsidRDefault="003D2CAD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  <w:r w:rsidRPr="00F53A45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3: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Can performance assessment provide the evidence of proficiency needed to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evaluate this kind of achievement target? Defend your response.</w:t>
      </w:r>
    </w:p>
    <w:p w:rsidR="00F53A45" w:rsidRPr="0073360B" w:rsidRDefault="00F53A45" w:rsidP="003D2CAD">
      <w:pPr>
        <w:autoSpaceDE w:val="0"/>
        <w:autoSpaceDN w:val="0"/>
        <w:adjustRightInd w:val="0"/>
        <w:rPr>
          <w:rFonts w:ascii="Century-Light" w:hAnsi="Century-Light" w:cs="Century-Light"/>
          <w:sz w:val="28"/>
          <w:szCs w:val="28"/>
        </w:rPr>
      </w:pPr>
    </w:p>
    <w:p w:rsidR="006503A0" w:rsidRPr="0073360B" w:rsidRDefault="003D2CAD" w:rsidP="00F53A45">
      <w:pPr>
        <w:autoSpaceDE w:val="0"/>
        <w:autoSpaceDN w:val="0"/>
        <w:adjustRightInd w:val="0"/>
        <w:rPr>
          <w:sz w:val="28"/>
          <w:szCs w:val="28"/>
        </w:rPr>
      </w:pPr>
      <w:r w:rsidRPr="00F53A45">
        <w:rPr>
          <w:rFonts w:ascii="Century-LightItalic" w:hAnsi="Century-LightItalic" w:cs="Century-LightItalic"/>
          <w:b/>
          <w:i/>
          <w:iCs/>
          <w:sz w:val="28"/>
          <w:szCs w:val="28"/>
        </w:rPr>
        <w:t>Question 4:</w:t>
      </w:r>
      <w:r w:rsidRPr="0073360B">
        <w:rPr>
          <w:rFonts w:ascii="Century-LightItalic" w:hAnsi="Century-LightItalic" w:cs="Century-LightItalic"/>
          <w:i/>
          <w:iCs/>
          <w:sz w:val="28"/>
          <w:szCs w:val="28"/>
        </w:rPr>
        <w:t xml:space="preserve"> </w:t>
      </w:r>
      <w:r w:rsidRPr="0073360B">
        <w:rPr>
          <w:rFonts w:ascii="Century-Light" w:hAnsi="Century-Light" w:cs="Century-Light"/>
          <w:sz w:val="28"/>
          <w:szCs w:val="28"/>
        </w:rPr>
        <w:t>Is personal oral communication a viable way to assess when products serve as</w:t>
      </w:r>
      <w:r w:rsidR="00F53A45">
        <w:rPr>
          <w:rFonts w:ascii="Century-Light" w:hAnsi="Century-Light" w:cs="Century-Light"/>
          <w:sz w:val="28"/>
          <w:szCs w:val="28"/>
        </w:rPr>
        <w:t xml:space="preserve"> </w:t>
      </w:r>
      <w:bookmarkStart w:id="0" w:name="_GoBack"/>
      <w:bookmarkEnd w:id="0"/>
      <w:r w:rsidRPr="0073360B">
        <w:rPr>
          <w:rFonts w:ascii="Century-Light" w:hAnsi="Century-Light" w:cs="Century-Light"/>
          <w:sz w:val="28"/>
          <w:szCs w:val="28"/>
        </w:rPr>
        <w:t>the source of evidence of proficiency? Why or why not?</w:t>
      </w:r>
    </w:p>
    <w:sectPr w:rsidR="006503A0" w:rsidRPr="0073360B" w:rsidSect="003D2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D"/>
    <w:rsid w:val="00077241"/>
    <w:rsid w:val="000873B9"/>
    <w:rsid w:val="00252344"/>
    <w:rsid w:val="00385235"/>
    <w:rsid w:val="003D2CAD"/>
    <w:rsid w:val="003E2830"/>
    <w:rsid w:val="0073360B"/>
    <w:rsid w:val="00736CB3"/>
    <w:rsid w:val="00832845"/>
    <w:rsid w:val="009A044C"/>
    <w:rsid w:val="00A35ED9"/>
    <w:rsid w:val="00B12543"/>
    <w:rsid w:val="00C42ED0"/>
    <w:rsid w:val="00EC281E"/>
    <w:rsid w:val="00F53A45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Rhodes, Terry - Division of Program Standards</cp:lastModifiedBy>
  <cp:revision>1</cp:revision>
  <dcterms:created xsi:type="dcterms:W3CDTF">2014-03-16T23:31:00Z</dcterms:created>
  <dcterms:modified xsi:type="dcterms:W3CDTF">2014-03-16T23:44:00Z</dcterms:modified>
</cp:coreProperties>
</file>