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3B65" w:rsidRDefault="007C16BC">
      <w:r>
        <w:rPr>
          <w:b/>
        </w:rPr>
        <w:t>Kentucky Rubric for Exemplary Professional Learning</w:t>
      </w:r>
      <w:r>
        <w:t xml:space="preserve"> </w:t>
      </w:r>
    </w:p>
    <w:p w:rsidR="00F628BF" w:rsidRDefault="00F628BF"/>
    <w:tbl>
      <w:tblPr>
        <w:tblStyle w:val="a"/>
        <w:tblW w:w="14850" w:type="dxa"/>
        <w:tblInd w:w="-1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2880"/>
        <w:gridCol w:w="2880"/>
        <w:gridCol w:w="2610"/>
        <w:gridCol w:w="2790"/>
      </w:tblGrid>
      <w:tr w:rsidR="005632AF" w:rsidTr="00651B22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pPr>
              <w:rPr>
                <w:b/>
              </w:rPr>
            </w:pPr>
            <w:r>
              <w:rPr>
                <w:b/>
              </w:rPr>
              <w:t>Criteria for Effective Professional Learning (Standards for Professional Learning)</w:t>
            </w:r>
          </w:p>
          <w:p w:rsidR="00F628BF" w:rsidRDefault="00F628BF"/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pPr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pPr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pPr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pPr>
              <w:jc w:val="center"/>
            </w:pPr>
            <w:r>
              <w:rPr>
                <w:b/>
              </w:rPr>
              <w:t>Level 1</w:t>
            </w:r>
          </w:p>
        </w:tc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t>Student data (Data)</w:t>
            </w:r>
          </w:p>
          <w:p w:rsidR="00133B65" w:rsidRDefault="007C16BC">
            <w:r>
              <w:rPr>
                <w:b/>
              </w:rPr>
              <w:t>How do student learning data inform determination of student learning needs?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Gathers and analyzes multiple type</w:t>
            </w:r>
            <w:r w:rsidR="002D4818">
              <w:rPr>
                <w:sz w:val="20"/>
              </w:rPr>
              <w:t>s</w:t>
            </w:r>
            <w:r>
              <w:rPr>
                <w:sz w:val="20"/>
              </w:rPr>
              <w:t xml:space="preserve"> and sources of student data (3 or </w:t>
            </w:r>
            <w:r w:rsidR="002D4818">
              <w:rPr>
                <w:sz w:val="20"/>
              </w:rPr>
              <w:t xml:space="preserve">more) and explains how the data analyses </w:t>
            </w:r>
            <w:r>
              <w:rPr>
                <w:sz w:val="20"/>
              </w:rPr>
              <w:t>determine student learning needs.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Gathers and analyzes two types and sources of student data and explains how the data analyses determine student learning needs.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2D4818">
            <w:r>
              <w:rPr>
                <w:sz w:val="20"/>
              </w:rPr>
              <w:t>Gathers and analyzes</w:t>
            </w:r>
            <w:r w:rsidR="007C16BC">
              <w:rPr>
                <w:sz w:val="20"/>
              </w:rPr>
              <w:t xml:space="preserve"> one type or source of student data to determine student learning needs.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Fails to explain how student data are used to determine student learning needs.</w:t>
            </w:r>
          </w:p>
        </w:tc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t>Educator Learning Factors (Resources, Data and Learning Community)</w:t>
            </w:r>
          </w:p>
          <w:p w:rsidR="00133B65" w:rsidRDefault="007C16BC">
            <w:r>
              <w:rPr>
                <w:b/>
              </w:rPr>
              <w:t>What factors or circumstances need to be considered in the planning and implementation of professional learning?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Identifies and analyzes factors or circumstances (policies, resources, schedule, etc.) that contribute to the educator learning context and explains in detail how t</w:t>
            </w:r>
            <w:r w:rsidR="002D4818">
              <w:rPr>
                <w:sz w:val="20"/>
              </w:rPr>
              <w:t xml:space="preserve">hey are considered in planning </w:t>
            </w:r>
            <w:r>
              <w:rPr>
                <w:sz w:val="20"/>
              </w:rPr>
              <w:t xml:space="preserve">and implementation of professional learning.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Identifies and analyzes factors or circumstances (policies, resources, schedule, etc.) that contribute to the educator learning context and explains how they influence planning of professional learning.</w:t>
            </w:r>
          </w:p>
          <w:p w:rsidR="00133B65" w:rsidRDefault="007C16BC">
            <w:r>
              <w:rPr>
                <w:sz w:val="20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Identifies factors or circumstances (policies, resources, schedule, etc.) that contribute to the educator learning context.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Fails to identify, analyze, and explain factors or circumstances that contribute the educators’ learning context.</w:t>
            </w:r>
          </w:p>
        </w:tc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t>Alignment of professional learning with school (CSIP) and district (CDIP)improvement plan(s) (Learning Community and Outcomes)</w:t>
            </w:r>
          </w:p>
          <w:p w:rsidR="00133B65" w:rsidRDefault="007C16BC">
            <w:pPr>
              <w:rPr>
                <w:b/>
              </w:rPr>
            </w:pPr>
            <w:r>
              <w:rPr>
                <w:b/>
              </w:rPr>
              <w:t>How does professional learning contribute to the achievement of school and/or district improvement plan goals?</w:t>
            </w:r>
          </w:p>
          <w:p w:rsidR="00651B22" w:rsidRDefault="00651B22"/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Makes explicit the alignment of team and/or school professional learning with district and school improvement plan(s).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Aligns team and/or school professional learning with district and school improvement plan(s).</w:t>
            </w:r>
          </w:p>
          <w:p w:rsidR="00133B65" w:rsidRDefault="00133B65"/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Identifies the related goal(s) from the school or district improvement plan.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Fails to align team and/or school professional learning with school and district improvement plan(s).</w:t>
            </w:r>
          </w:p>
        </w:tc>
        <w:bookmarkStart w:id="0" w:name="_GoBack"/>
        <w:bookmarkEnd w:id="0"/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lastRenderedPageBreak/>
              <w:t>Outcomes for professional learning  (Outcomes)</w:t>
            </w:r>
          </w:p>
          <w:p w:rsidR="00133B65" w:rsidRDefault="00133B65"/>
          <w:p w:rsidR="00133B65" w:rsidRDefault="007C16BC">
            <w:r>
              <w:rPr>
                <w:b/>
              </w:rPr>
              <w:t xml:space="preserve">What specific changes are expected as a result of the professional learning for both educators and students?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 xml:space="preserve">Develops measurable educator professional learning goals, based on student data, factors or circumstances of the educator learning context, and the school and/or district improvement plan(s), that specify changes in educator practice and student growth. 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 xml:space="preserve">Develops educator professional learning goals, based on student data, factors or circumstances of the educator learning context, and the school and/or district improvement plans(s) that specify changes in educator practice.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Identifies topics for professional learning based on student data, factors or circumstances of the educator learning context, and the school and/or district improvement plans(s).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2D4818">
            <w:r>
              <w:rPr>
                <w:sz w:val="20"/>
              </w:rPr>
              <w:t xml:space="preserve">Fails to specify changes in </w:t>
            </w:r>
            <w:r w:rsidR="007C16BC">
              <w:rPr>
                <w:sz w:val="20"/>
              </w:rPr>
              <w:t>educator practice and student gro</w:t>
            </w:r>
            <w:r>
              <w:rPr>
                <w:sz w:val="20"/>
              </w:rPr>
              <w:t>wth as a result of professional learning</w:t>
            </w:r>
            <w:r w:rsidR="007C16BC">
              <w:rPr>
                <w:sz w:val="20"/>
              </w:rPr>
              <w:t>.</w:t>
            </w:r>
          </w:p>
        </w:tc>
      </w:tr>
      <w:tr w:rsidR="005632AF" w:rsidTr="00651B22"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t>Professional learning practices (Learning Communities, Leadership, Resources, Data, Learning Designs, Implementation, Outcomes Standards)</w:t>
            </w:r>
          </w:p>
          <w:p w:rsidR="00133B65" w:rsidRDefault="007C16BC">
            <w:r>
              <w:rPr>
                <w:b/>
              </w:rPr>
              <w:t>What professional learning designs and implementation supports are appropriate for the intended outcomes?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Uses available research and evidence to select or create professional learning designs and implementation support appropriate for professional learning outcomes.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Selects professional learning designs and implementation support appropriate for professional learning outcomes.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Selects professional learning designs appropriate for professional learning outcomes.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 xml:space="preserve">Fails to use research and evidence to select professional learning designs and implementation supports appropriate for the professional learning outcomes. </w:t>
            </w:r>
          </w:p>
        </w:tc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t>Professional learning plan (Learning Communities, Leadership, Resources, Data, Learning Designs, Implementation, Outcomes Standards)</w:t>
            </w:r>
          </w:p>
          <w:p w:rsidR="00133B65" w:rsidRDefault="007C16BC">
            <w:r>
              <w:rPr>
                <w:b/>
              </w:rPr>
              <w:t>What is the professional learning plan including the underlying assumptions, resources, roles and responsibilities, and adherence to the standards for professional learning to achieve the intended goals?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Creates a professional learning plan to achieve the intended outcomes that includes a logic model/theory of change or theory of action; integrates the Kentucky Standards for Professional Learning; specifies formative assessment and summative evaluation methods; defines roles and responsibilities; and allocates sufficient resources to achieve results.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Creates a professional learning plan to achieve the intended outcomes that integrates the Kentucky Standards for Professional Learning; defines roles and responsibilities; and allocates sufficient resources to achieve results.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Creates a professional learning plan to achieve the intended outcomes that integrates the Kentucky Standards for Professional Learning; defines roles and responsibilities; and identifies allocated resources.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Fails to create a professional learning plan to achieve the intended outcomes that includes a logic model/theory of change or theory of action; integrates the Kentucky Standards for Professional Learning; specifies formative assessment and summative evaluation methods; defines roles and responsibilities; and allocates sufficient resources to achieve results.</w:t>
            </w:r>
          </w:p>
        </w:tc>
      </w:tr>
      <w:tr w:rsidR="005632AF" w:rsidTr="00651B22">
        <w:tc>
          <w:tcPr>
            <w:tcW w:w="36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b/>
              </w:rPr>
              <w:lastRenderedPageBreak/>
              <w:t>Implements plan and evaluates progress (Learning Communities, Leadership, Resources, Data, Learning Designs, Implementation, Outcomes Standards)</w:t>
            </w:r>
          </w:p>
          <w:p w:rsidR="00133B65" w:rsidRDefault="007C16BC">
            <w:r>
              <w:rPr>
                <w:b/>
              </w:rPr>
              <w:t>How is the implementation of the professional learning plan monitored and evaluated?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Enacts professional learning plan to achieve changes in educator practice and student growth; conducts formative assessment and summative evaluation of professional learning; adjusts plan based on data; sustains differentiated and personalized support for deep implementation; and reports on progress and results to multiple audiences.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Enacts professional learning plan to achieve changes in educator practice and student growth; adjusts plan as needed; sustains support for implementation; and reports on progress and results to multiple audiences.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Enacts professional learning plan to achieve changes in educator practice and student growth and reports on progress and results.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65" w:rsidRDefault="007C16BC">
            <w:r>
              <w:rPr>
                <w:sz w:val="20"/>
              </w:rPr>
              <w:t>Fails to enact professional learning plan to achieve changes in educator practice and student growth; conduct formative assessment and summative evaluation of professional learning; adjust plan based on data; sustain differentiated and personalized support for deep implementation; and report on progress and results to multiple audiences.</w:t>
            </w:r>
          </w:p>
        </w:tc>
      </w:tr>
    </w:tbl>
    <w:p w:rsidR="00133B65" w:rsidRDefault="00133B65"/>
    <w:sectPr w:rsidR="00133B65" w:rsidSect="00B22A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75" w:rsidRDefault="00494975" w:rsidP="00D506BF">
      <w:pPr>
        <w:spacing w:line="240" w:lineRule="auto"/>
      </w:pPr>
      <w:r>
        <w:separator/>
      </w:r>
    </w:p>
  </w:endnote>
  <w:endnote w:type="continuationSeparator" w:id="0">
    <w:p w:rsidR="00494975" w:rsidRDefault="00494975" w:rsidP="00D506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Revised </w:t>
    </w:r>
    <w:proofErr w:type="gramStart"/>
    <w:r>
      <w:rPr>
        <w:rFonts w:asciiTheme="majorHAnsi" w:eastAsiaTheme="majorEastAsia" w:hAnsiTheme="majorHAnsi" w:cstheme="majorBidi"/>
      </w:rPr>
      <w:t>Rubric  August</w:t>
    </w:r>
    <w:proofErr w:type="gramEnd"/>
    <w:r>
      <w:rPr>
        <w:rFonts w:asciiTheme="majorHAnsi" w:eastAsiaTheme="majorEastAsia" w:hAnsiTheme="majorHAnsi" w:cstheme="majorBidi"/>
      </w:rPr>
      <w:t xml:space="preserve"> 2014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C76333" w:rsidRPr="00C7633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506BF" w:rsidRDefault="00D506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75" w:rsidRDefault="00494975" w:rsidP="00D506BF">
      <w:pPr>
        <w:spacing w:line="240" w:lineRule="auto"/>
      </w:pPr>
      <w:r>
        <w:separator/>
      </w:r>
    </w:p>
  </w:footnote>
  <w:footnote w:type="continuationSeparator" w:id="0">
    <w:p w:rsidR="00494975" w:rsidRDefault="00494975" w:rsidP="00D506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BF" w:rsidRDefault="00D50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B65"/>
    <w:rsid w:val="00133B65"/>
    <w:rsid w:val="002D4818"/>
    <w:rsid w:val="00365E06"/>
    <w:rsid w:val="00396D5D"/>
    <w:rsid w:val="00494975"/>
    <w:rsid w:val="004D6F63"/>
    <w:rsid w:val="005632AF"/>
    <w:rsid w:val="005B74BA"/>
    <w:rsid w:val="005F3E07"/>
    <w:rsid w:val="00651B22"/>
    <w:rsid w:val="007C16BC"/>
    <w:rsid w:val="008046DA"/>
    <w:rsid w:val="009579FA"/>
    <w:rsid w:val="00B111BA"/>
    <w:rsid w:val="00B22A65"/>
    <w:rsid w:val="00C76333"/>
    <w:rsid w:val="00D41C62"/>
    <w:rsid w:val="00D506BF"/>
    <w:rsid w:val="00F6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06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BF"/>
  </w:style>
  <w:style w:type="paragraph" w:styleId="Footer">
    <w:name w:val="footer"/>
    <w:basedOn w:val="Normal"/>
    <w:link w:val="FooterChar"/>
    <w:uiPriority w:val="99"/>
    <w:unhideWhenUsed/>
    <w:rsid w:val="00D506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BF"/>
  </w:style>
  <w:style w:type="paragraph" w:styleId="BalloonText">
    <w:name w:val="Balloon Text"/>
    <w:basedOn w:val="Normal"/>
    <w:link w:val="BalloonTextChar"/>
    <w:uiPriority w:val="99"/>
    <w:semiHidden/>
    <w:unhideWhenUsed/>
    <w:rsid w:val="00D50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06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BF"/>
  </w:style>
  <w:style w:type="paragraph" w:styleId="Footer">
    <w:name w:val="footer"/>
    <w:basedOn w:val="Normal"/>
    <w:link w:val="FooterChar"/>
    <w:uiPriority w:val="99"/>
    <w:unhideWhenUsed/>
    <w:rsid w:val="00D506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BF"/>
  </w:style>
  <w:style w:type="paragraph" w:styleId="BalloonText">
    <w:name w:val="Balloon Text"/>
    <w:basedOn w:val="Normal"/>
    <w:link w:val="BalloonTextChar"/>
    <w:uiPriority w:val="99"/>
    <w:semiHidden/>
    <w:unhideWhenUsed/>
    <w:rsid w:val="00D506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Exemplary Professional Learning Rubric.docx</vt:lpstr>
    </vt:vector>
  </TitlesOfParts>
  <Company>Kentucky Department of Education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Exemplary Professional Learning Rubric.docx</dc:title>
  <dc:creator>Kidwell, Karen - Director, Division of Program Standards</dc:creator>
  <cp:lastModifiedBy>dwaggon</cp:lastModifiedBy>
  <cp:revision>3</cp:revision>
  <dcterms:created xsi:type="dcterms:W3CDTF">2015-03-09T13:42:00Z</dcterms:created>
  <dcterms:modified xsi:type="dcterms:W3CDTF">2015-03-09T13:48:00Z</dcterms:modified>
</cp:coreProperties>
</file>